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88" w:type="dxa"/>
        <w:tblLayout w:type="fixed"/>
        <w:tblLook w:val="0000" w:firstRow="0" w:lastRow="0" w:firstColumn="0" w:lastColumn="0" w:noHBand="0" w:noVBand="0"/>
      </w:tblPr>
      <w:tblGrid>
        <w:gridCol w:w="5495"/>
        <w:gridCol w:w="3793"/>
      </w:tblGrid>
      <w:tr w:rsidR="006572A4" w:rsidTr="00A8368B">
        <w:tc>
          <w:tcPr>
            <w:tcW w:w="5495" w:type="dxa"/>
          </w:tcPr>
          <w:p w:rsidR="006572A4" w:rsidRDefault="00466D5A" w:rsidP="00E91826">
            <w:pPr>
              <w:widowControl w:val="0"/>
              <w:ind w:right="397"/>
              <w:jc w:val="both"/>
              <w:rPr>
                <w:b/>
                <w:bCs/>
              </w:rPr>
            </w:pPr>
            <w:r>
              <w:rPr>
                <w:b/>
              </w:rPr>
              <w:t>West Area Planning Committee</w:t>
            </w:r>
            <w:r w:rsidR="008670A5">
              <w:rPr>
                <w:b/>
              </w:rPr>
              <w:t xml:space="preserve"> </w:t>
            </w:r>
          </w:p>
        </w:tc>
        <w:tc>
          <w:tcPr>
            <w:tcW w:w="3793" w:type="dxa"/>
          </w:tcPr>
          <w:p w:rsidR="006572A4" w:rsidRDefault="00466D5A" w:rsidP="00B6080E">
            <w:pPr>
              <w:widowControl w:val="0"/>
              <w:jc w:val="right"/>
            </w:pPr>
            <w:r>
              <w:t>8</w:t>
            </w:r>
            <w:r w:rsidRPr="00466D5A">
              <w:rPr>
                <w:vertAlign w:val="superscript"/>
              </w:rPr>
              <w:t>th</w:t>
            </w:r>
            <w:r>
              <w:t xml:space="preserve"> May 2019</w:t>
            </w:r>
          </w:p>
        </w:tc>
      </w:tr>
    </w:tbl>
    <w:p w:rsidR="006572A4" w:rsidRDefault="006572A4" w:rsidP="005C4ED6">
      <w:pPr>
        <w:jc w:val="both"/>
      </w:pPr>
    </w:p>
    <w:tbl>
      <w:tblPr>
        <w:tblW w:w="0" w:type="auto"/>
        <w:tblLook w:val="0000" w:firstRow="0" w:lastRow="0" w:firstColumn="0" w:lastColumn="0" w:noHBand="0" w:noVBand="0"/>
      </w:tblPr>
      <w:tblGrid>
        <w:gridCol w:w="2943"/>
        <w:gridCol w:w="6344"/>
      </w:tblGrid>
      <w:tr w:rsidR="006572A4" w:rsidTr="00B6080E">
        <w:tc>
          <w:tcPr>
            <w:tcW w:w="2943" w:type="dxa"/>
          </w:tcPr>
          <w:p w:rsidR="006572A4" w:rsidRDefault="006572A4" w:rsidP="00B6080E">
            <w:pPr>
              <w:jc w:val="both"/>
            </w:pPr>
            <w:r>
              <w:rPr>
                <w:b/>
                <w:bCs/>
              </w:rPr>
              <w:t xml:space="preserve">Application </w:t>
            </w:r>
            <w:r w:rsidR="00B6080E">
              <w:rPr>
                <w:b/>
                <w:bCs/>
              </w:rPr>
              <w:t>n</w:t>
            </w:r>
            <w:r>
              <w:rPr>
                <w:b/>
                <w:bCs/>
              </w:rPr>
              <w:t>umber:</w:t>
            </w:r>
          </w:p>
        </w:tc>
        <w:tc>
          <w:tcPr>
            <w:tcW w:w="6344" w:type="dxa"/>
          </w:tcPr>
          <w:p w:rsidR="006572A4" w:rsidRDefault="00323851" w:rsidP="005C4ED6">
            <w:pPr>
              <w:jc w:val="both"/>
            </w:pPr>
            <w:r>
              <w:t>19/00867/FUL</w:t>
            </w:r>
          </w:p>
        </w:tc>
      </w:tr>
      <w:tr w:rsidR="006572A4" w:rsidTr="00B6080E">
        <w:tc>
          <w:tcPr>
            <w:tcW w:w="2943" w:type="dxa"/>
          </w:tcPr>
          <w:p w:rsidR="006572A4" w:rsidRDefault="006572A4" w:rsidP="005C4ED6">
            <w:pPr>
              <w:jc w:val="both"/>
            </w:pPr>
          </w:p>
        </w:tc>
        <w:tc>
          <w:tcPr>
            <w:tcW w:w="6344" w:type="dxa"/>
          </w:tcPr>
          <w:p w:rsidR="006572A4" w:rsidRDefault="006572A4" w:rsidP="005C4ED6">
            <w:pPr>
              <w:jc w:val="both"/>
            </w:pPr>
          </w:p>
        </w:tc>
      </w:tr>
      <w:tr w:rsidR="006572A4" w:rsidTr="00B6080E">
        <w:tc>
          <w:tcPr>
            <w:tcW w:w="2943" w:type="dxa"/>
          </w:tcPr>
          <w:p w:rsidR="006572A4" w:rsidRDefault="00B6080E" w:rsidP="00B6080E">
            <w:pPr>
              <w:jc w:val="both"/>
            </w:pPr>
            <w:r>
              <w:rPr>
                <w:b/>
                <w:bCs/>
              </w:rPr>
              <w:t>Decision due by</w:t>
            </w:r>
          </w:p>
        </w:tc>
        <w:tc>
          <w:tcPr>
            <w:tcW w:w="6344" w:type="dxa"/>
          </w:tcPr>
          <w:p w:rsidR="00AD7F54" w:rsidRPr="000E777F" w:rsidRDefault="00323851" w:rsidP="005C4ED6">
            <w:pPr>
              <w:jc w:val="both"/>
            </w:pPr>
            <w:r>
              <w:t>30th May 2019</w:t>
            </w:r>
          </w:p>
        </w:tc>
      </w:tr>
      <w:tr w:rsidR="006572A4" w:rsidTr="00B6080E">
        <w:tc>
          <w:tcPr>
            <w:tcW w:w="2943" w:type="dxa"/>
          </w:tcPr>
          <w:p w:rsidR="006572A4" w:rsidRDefault="006572A4" w:rsidP="005C4ED6">
            <w:pPr>
              <w:jc w:val="both"/>
            </w:pPr>
          </w:p>
        </w:tc>
        <w:tc>
          <w:tcPr>
            <w:tcW w:w="6344" w:type="dxa"/>
          </w:tcPr>
          <w:p w:rsidR="006572A4" w:rsidRDefault="006572A4" w:rsidP="005C4ED6">
            <w:pPr>
              <w:jc w:val="both"/>
            </w:pPr>
          </w:p>
        </w:tc>
      </w:tr>
      <w:tr w:rsidR="00AD7F54" w:rsidTr="00B6080E">
        <w:tc>
          <w:tcPr>
            <w:tcW w:w="2943" w:type="dxa"/>
          </w:tcPr>
          <w:p w:rsidR="00AD7F54" w:rsidRPr="00AD7F54" w:rsidRDefault="00AD7F54" w:rsidP="00B6080E">
            <w:pPr>
              <w:jc w:val="both"/>
              <w:rPr>
                <w:b/>
              </w:rPr>
            </w:pPr>
            <w:r w:rsidRPr="00AD7F54">
              <w:rPr>
                <w:b/>
              </w:rPr>
              <w:t xml:space="preserve">Extension of </w:t>
            </w:r>
            <w:r w:rsidR="00B6080E">
              <w:rPr>
                <w:b/>
              </w:rPr>
              <w:t>t</w:t>
            </w:r>
            <w:r w:rsidRPr="00AD7F54">
              <w:rPr>
                <w:b/>
              </w:rPr>
              <w:t>ime</w:t>
            </w:r>
          </w:p>
        </w:tc>
        <w:tc>
          <w:tcPr>
            <w:tcW w:w="6344" w:type="dxa"/>
          </w:tcPr>
          <w:p w:rsidR="00AD7F54" w:rsidRDefault="00AD0522" w:rsidP="005C4ED6">
            <w:pPr>
              <w:jc w:val="both"/>
            </w:pPr>
            <w:r>
              <w:t>14th June 2019</w:t>
            </w:r>
          </w:p>
        </w:tc>
      </w:tr>
      <w:tr w:rsidR="00AD7F54" w:rsidTr="00B6080E">
        <w:tc>
          <w:tcPr>
            <w:tcW w:w="2943" w:type="dxa"/>
          </w:tcPr>
          <w:p w:rsidR="00AD7F54" w:rsidRDefault="00AD7F54" w:rsidP="005C4ED6">
            <w:pPr>
              <w:jc w:val="both"/>
            </w:pPr>
          </w:p>
        </w:tc>
        <w:tc>
          <w:tcPr>
            <w:tcW w:w="6344" w:type="dxa"/>
          </w:tcPr>
          <w:p w:rsidR="00AD7F54" w:rsidRDefault="00AD7F54" w:rsidP="005C4ED6">
            <w:pPr>
              <w:jc w:val="both"/>
            </w:pPr>
          </w:p>
        </w:tc>
      </w:tr>
      <w:tr w:rsidR="006572A4" w:rsidTr="00B6080E">
        <w:tc>
          <w:tcPr>
            <w:tcW w:w="2943" w:type="dxa"/>
          </w:tcPr>
          <w:p w:rsidR="006572A4" w:rsidRDefault="00B6080E" w:rsidP="005C4ED6">
            <w:pPr>
              <w:jc w:val="both"/>
              <w:rPr>
                <w:b/>
                <w:bCs/>
              </w:rPr>
            </w:pPr>
            <w:r>
              <w:rPr>
                <w:b/>
                <w:bCs/>
              </w:rPr>
              <w:t>Proposal</w:t>
            </w:r>
          </w:p>
        </w:tc>
        <w:tc>
          <w:tcPr>
            <w:tcW w:w="6344" w:type="dxa"/>
          </w:tcPr>
          <w:p w:rsidR="006572A4" w:rsidRDefault="00AD0522" w:rsidP="005C4ED6">
            <w:pPr>
              <w:jc w:val="both"/>
            </w:pPr>
            <w:r>
              <w:t xml:space="preserve">Replacement of communal entrance doors and insertion of 1no. </w:t>
            </w:r>
            <w:proofErr w:type="gramStart"/>
            <w:r>
              <w:t>communal</w:t>
            </w:r>
            <w:proofErr w:type="gramEnd"/>
            <w:r>
              <w:t xml:space="preserve"> door.</w:t>
            </w:r>
          </w:p>
        </w:tc>
      </w:tr>
      <w:tr w:rsidR="006572A4" w:rsidTr="00B6080E">
        <w:tc>
          <w:tcPr>
            <w:tcW w:w="2943" w:type="dxa"/>
          </w:tcPr>
          <w:p w:rsidR="006572A4" w:rsidRDefault="006572A4" w:rsidP="005C4ED6">
            <w:pPr>
              <w:jc w:val="both"/>
              <w:rPr>
                <w:b/>
                <w:bCs/>
              </w:rPr>
            </w:pPr>
          </w:p>
        </w:tc>
        <w:tc>
          <w:tcPr>
            <w:tcW w:w="6344" w:type="dxa"/>
          </w:tcPr>
          <w:p w:rsidR="006572A4" w:rsidRDefault="006572A4" w:rsidP="005C4ED6">
            <w:pPr>
              <w:jc w:val="both"/>
            </w:pPr>
          </w:p>
        </w:tc>
      </w:tr>
      <w:tr w:rsidR="006572A4" w:rsidTr="00B6080E">
        <w:tc>
          <w:tcPr>
            <w:tcW w:w="2943" w:type="dxa"/>
          </w:tcPr>
          <w:p w:rsidR="006572A4" w:rsidRDefault="00B6080E" w:rsidP="00B6080E">
            <w:pPr>
              <w:jc w:val="both"/>
              <w:rPr>
                <w:b/>
                <w:bCs/>
              </w:rPr>
            </w:pPr>
            <w:r>
              <w:rPr>
                <w:b/>
                <w:bCs/>
              </w:rPr>
              <w:t>Site address</w:t>
            </w:r>
          </w:p>
        </w:tc>
        <w:tc>
          <w:tcPr>
            <w:tcW w:w="6344" w:type="dxa"/>
          </w:tcPr>
          <w:p w:rsidR="006572A4" w:rsidRDefault="005651B3" w:rsidP="00B6080E">
            <w:r>
              <w:t xml:space="preserve">Riverside Court </w:t>
            </w:r>
            <w:r w:rsidR="00B6080E">
              <w:t>,</w:t>
            </w:r>
            <w:r>
              <w:t xml:space="preserve"> Long Ford Close</w:t>
            </w:r>
            <w:r w:rsidR="005C7AA3">
              <w:t xml:space="preserve">, Oxford, </w:t>
            </w:r>
            <w:r>
              <w:t>OX1 4NG</w:t>
            </w:r>
            <w:r w:rsidR="00497AEF">
              <w:t xml:space="preserve"> </w:t>
            </w:r>
            <w:r w:rsidR="00497AEF" w:rsidRPr="003F0C59">
              <w:t xml:space="preserve">– see </w:t>
            </w:r>
            <w:r w:rsidR="00497AEF" w:rsidRPr="003F0C59">
              <w:rPr>
                <w:b/>
              </w:rPr>
              <w:t>Appendix 1</w:t>
            </w:r>
            <w:r w:rsidR="00497AEF" w:rsidRPr="003F0C59">
              <w:t xml:space="preserve"> for site plan</w:t>
            </w:r>
          </w:p>
        </w:tc>
      </w:tr>
      <w:tr w:rsidR="006572A4" w:rsidTr="00B6080E">
        <w:tc>
          <w:tcPr>
            <w:tcW w:w="2943" w:type="dxa"/>
          </w:tcPr>
          <w:p w:rsidR="006572A4" w:rsidRDefault="006572A4" w:rsidP="005C4ED6">
            <w:pPr>
              <w:jc w:val="both"/>
            </w:pPr>
          </w:p>
        </w:tc>
        <w:tc>
          <w:tcPr>
            <w:tcW w:w="6344" w:type="dxa"/>
          </w:tcPr>
          <w:p w:rsidR="006572A4" w:rsidRDefault="006572A4" w:rsidP="005C4ED6">
            <w:pPr>
              <w:jc w:val="both"/>
            </w:pPr>
          </w:p>
        </w:tc>
      </w:tr>
      <w:tr w:rsidR="006572A4" w:rsidTr="00B6080E">
        <w:tc>
          <w:tcPr>
            <w:tcW w:w="2943" w:type="dxa"/>
          </w:tcPr>
          <w:p w:rsidR="006572A4" w:rsidRDefault="00B6080E" w:rsidP="005C4ED6">
            <w:pPr>
              <w:jc w:val="both"/>
              <w:rPr>
                <w:b/>
                <w:bCs/>
              </w:rPr>
            </w:pPr>
            <w:r>
              <w:rPr>
                <w:b/>
                <w:bCs/>
              </w:rPr>
              <w:t>Ward</w:t>
            </w:r>
          </w:p>
        </w:tc>
        <w:tc>
          <w:tcPr>
            <w:tcW w:w="6344" w:type="dxa"/>
          </w:tcPr>
          <w:p w:rsidR="006572A4" w:rsidRDefault="00623C46" w:rsidP="005C4ED6">
            <w:pPr>
              <w:jc w:val="both"/>
            </w:pPr>
            <w:proofErr w:type="spellStart"/>
            <w:r>
              <w:t>Hinksey</w:t>
            </w:r>
            <w:proofErr w:type="spellEnd"/>
            <w:r>
              <w:t xml:space="preserve"> Park</w:t>
            </w:r>
          </w:p>
        </w:tc>
      </w:tr>
      <w:tr w:rsidR="00B6080E" w:rsidTr="00B6080E">
        <w:tc>
          <w:tcPr>
            <w:tcW w:w="2943" w:type="dxa"/>
          </w:tcPr>
          <w:p w:rsidR="00B6080E" w:rsidRDefault="00B6080E" w:rsidP="005C4ED6">
            <w:pPr>
              <w:jc w:val="both"/>
              <w:rPr>
                <w:b/>
                <w:bCs/>
              </w:rPr>
            </w:pPr>
          </w:p>
        </w:tc>
        <w:tc>
          <w:tcPr>
            <w:tcW w:w="6344" w:type="dxa"/>
          </w:tcPr>
          <w:p w:rsidR="00B6080E" w:rsidRDefault="00B6080E" w:rsidP="005C4ED6">
            <w:pPr>
              <w:jc w:val="both"/>
            </w:pPr>
          </w:p>
        </w:tc>
      </w:tr>
      <w:tr w:rsidR="00B6080E" w:rsidTr="00B6080E">
        <w:tc>
          <w:tcPr>
            <w:tcW w:w="2943" w:type="dxa"/>
          </w:tcPr>
          <w:p w:rsidR="00B6080E" w:rsidRDefault="00B6080E" w:rsidP="00B6080E">
            <w:pPr>
              <w:rPr>
                <w:b/>
                <w:bCs/>
              </w:rPr>
            </w:pPr>
            <w:r>
              <w:rPr>
                <w:b/>
                <w:bCs/>
              </w:rPr>
              <w:t>Case officer</w:t>
            </w:r>
          </w:p>
        </w:tc>
        <w:tc>
          <w:tcPr>
            <w:tcW w:w="6344" w:type="dxa"/>
          </w:tcPr>
          <w:p w:rsidR="00B6080E" w:rsidRDefault="00B6080E" w:rsidP="005C4ED6">
            <w:pPr>
              <w:jc w:val="both"/>
            </w:pPr>
            <w:r>
              <w:t>James Paterson</w:t>
            </w:r>
          </w:p>
        </w:tc>
      </w:tr>
    </w:tbl>
    <w:p w:rsidR="006572A4" w:rsidRDefault="006572A4" w:rsidP="005C4ED6">
      <w:pPr>
        <w:jc w:val="both"/>
      </w:pPr>
    </w:p>
    <w:tbl>
      <w:tblPr>
        <w:tblW w:w="9288" w:type="dxa"/>
        <w:tblLayout w:type="fixed"/>
        <w:tblLook w:val="0000" w:firstRow="0" w:lastRow="0" w:firstColumn="0" w:lastColumn="0" w:noHBand="0" w:noVBand="0"/>
      </w:tblPr>
      <w:tblGrid>
        <w:gridCol w:w="2943"/>
        <w:gridCol w:w="2115"/>
        <w:gridCol w:w="1854"/>
        <w:gridCol w:w="2376"/>
      </w:tblGrid>
      <w:tr w:rsidR="00F448A8" w:rsidRPr="00F448A8" w:rsidTr="00497AEF">
        <w:tc>
          <w:tcPr>
            <w:tcW w:w="2943" w:type="dxa"/>
          </w:tcPr>
          <w:p w:rsidR="00F448A8" w:rsidRPr="00F448A8" w:rsidRDefault="00F448A8" w:rsidP="00F448A8">
            <w:r w:rsidRPr="00F448A8">
              <w:rPr>
                <w:b/>
                <w:bCs/>
              </w:rPr>
              <w:t>Agent:</w:t>
            </w:r>
            <w:r w:rsidRPr="00F448A8">
              <w:t xml:space="preserve"> </w:t>
            </w:r>
          </w:p>
        </w:tc>
        <w:tc>
          <w:tcPr>
            <w:tcW w:w="2115" w:type="dxa"/>
          </w:tcPr>
          <w:p w:rsidR="00F448A8" w:rsidRPr="00F448A8" w:rsidRDefault="00F448A8" w:rsidP="00F448A8">
            <w:r w:rsidRPr="00F448A8">
              <w:t>N/A</w:t>
            </w:r>
          </w:p>
        </w:tc>
        <w:tc>
          <w:tcPr>
            <w:tcW w:w="1854" w:type="dxa"/>
          </w:tcPr>
          <w:p w:rsidR="00F448A8" w:rsidRPr="00F448A8" w:rsidRDefault="00F448A8" w:rsidP="00F448A8">
            <w:r w:rsidRPr="00F448A8">
              <w:rPr>
                <w:b/>
                <w:bCs/>
              </w:rPr>
              <w:t>Applicant:</w:t>
            </w:r>
            <w:r w:rsidRPr="00F448A8">
              <w:t xml:space="preserve"> </w:t>
            </w:r>
          </w:p>
        </w:tc>
        <w:tc>
          <w:tcPr>
            <w:tcW w:w="2376" w:type="dxa"/>
          </w:tcPr>
          <w:p w:rsidR="00F448A8" w:rsidRPr="00F448A8" w:rsidRDefault="00F448A8" w:rsidP="004A410D">
            <w:pPr>
              <w:ind w:left="-108"/>
            </w:pPr>
            <w:r w:rsidRPr="00F448A8">
              <w:t>Mr Bill Chamberlain</w:t>
            </w:r>
          </w:p>
        </w:tc>
      </w:tr>
    </w:tbl>
    <w:p w:rsidR="00B6080E" w:rsidRDefault="004A410D" w:rsidP="004A410D">
      <w:pPr>
        <w:ind w:left="6480"/>
      </w:pPr>
      <w:r>
        <w:t xml:space="preserve">    (Oxford City Council)</w:t>
      </w:r>
    </w:p>
    <w:p w:rsidR="004A410D" w:rsidRDefault="004A410D" w:rsidP="004A410D">
      <w:pPr>
        <w:ind w:left="6480"/>
      </w:pPr>
    </w:p>
    <w:tbl>
      <w:tblPr>
        <w:tblW w:w="9288" w:type="dxa"/>
        <w:tblLayout w:type="fixed"/>
        <w:tblLook w:val="0000" w:firstRow="0" w:lastRow="0" w:firstColumn="0" w:lastColumn="0" w:noHBand="0" w:noVBand="0"/>
      </w:tblPr>
      <w:tblGrid>
        <w:gridCol w:w="2943"/>
        <w:gridCol w:w="6345"/>
      </w:tblGrid>
      <w:tr w:rsidR="00B6080E" w:rsidRPr="00F448A8" w:rsidTr="00603BB9">
        <w:tc>
          <w:tcPr>
            <w:tcW w:w="2943" w:type="dxa"/>
          </w:tcPr>
          <w:p w:rsidR="00B6080E" w:rsidRPr="00F448A8" w:rsidRDefault="00B6080E" w:rsidP="00F448A8">
            <w:pPr>
              <w:rPr>
                <w:b/>
                <w:bCs/>
              </w:rPr>
            </w:pPr>
            <w:r>
              <w:rPr>
                <w:b/>
              </w:rPr>
              <w:t>Reason at Committee</w:t>
            </w:r>
          </w:p>
        </w:tc>
        <w:tc>
          <w:tcPr>
            <w:tcW w:w="6345" w:type="dxa"/>
          </w:tcPr>
          <w:p w:rsidR="00B6080E" w:rsidRPr="00F448A8" w:rsidRDefault="00B111A6" w:rsidP="00B111A6">
            <w:r>
              <w:t>The application is made by Oxford City Council and must therefore be decided by a planning committee.</w:t>
            </w:r>
          </w:p>
        </w:tc>
      </w:tr>
    </w:tbl>
    <w:p w:rsidR="00AF1B8E" w:rsidRDefault="00AF1B8E" w:rsidP="005C4ED6">
      <w:pPr>
        <w:pBdr>
          <w:bottom w:val="single" w:sz="4" w:space="1" w:color="auto"/>
        </w:pBdr>
        <w:jc w:val="both"/>
      </w:pPr>
    </w:p>
    <w:p w:rsidR="006572A4" w:rsidRDefault="006572A4" w:rsidP="005C4ED6">
      <w:pPr>
        <w:pStyle w:val="Header"/>
        <w:widowControl w:val="0"/>
        <w:tabs>
          <w:tab w:val="clear" w:pos="4153"/>
          <w:tab w:val="clear" w:pos="8306"/>
        </w:tabs>
        <w:jc w:val="both"/>
      </w:pPr>
    </w:p>
    <w:p w:rsidR="00AF1B8E" w:rsidRPr="00D34CE3" w:rsidRDefault="00AF1B8E" w:rsidP="00D34CE3">
      <w:pPr>
        <w:pStyle w:val="HEADINGA"/>
      </w:pPr>
      <w:r w:rsidRPr="00D34CE3">
        <w:t>RECOMMENDATION</w:t>
      </w:r>
    </w:p>
    <w:p w:rsidR="00AF1B8E" w:rsidRPr="00D34CE3" w:rsidRDefault="0028008A" w:rsidP="0017675D">
      <w:pPr>
        <w:pStyle w:val="PARAGRAPHA"/>
        <w:jc w:val="left"/>
      </w:pPr>
      <w:r w:rsidRPr="0028008A">
        <w:t xml:space="preserve"> </w:t>
      </w:r>
      <w:r w:rsidR="001C242F">
        <w:rPr>
          <w:b/>
        </w:rPr>
        <w:t xml:space="preserve"> </w:t>
      </w:r>
      <w:r w:rsidR="0015273B">
        <w:rPr>
          <w:b/>
        </w:rPr>
        <w:t xml:space="preserve">West Area Planning Committee </w:t>
      </w:r>
      <w:r w:rsidR="00AF1B8E" w:rsidRPr="00D34CE3">
        <w:t>is recommended to</w:t>
      </w:r>
      <w:r w:rsidR="00531262" w:rsidRPr="00D34CE3">
        <w:t>:</w:t>
      </w:r>
    </w:p>
    <w:p w:rsidR="00531262" w:rsidRPr="0015273B" w:rsidRDefault="00497AEF" w:rsidP="00531262">
      <w:pPr>
        <w:pStyle w:val="PARAGRAPHB"/>
      </w:pPr>
      <w:r w:rsidRPr="0015273B">
        <w:rPr>
          <w:b/>
        </w:rPr>
        <w:t>a</w:t>
      </w:r>
      <w:r w:rsidR="00531262" w:rsidRPr="0015273B">
        <w:rPr>
          <w:b/>
        </w:rPr>
        <w:t>pprove the application</w:t>
      </w:r>
      <w:r w:rsidR="00531262" w:rsidRPr="00D34CE3">
        <w:t xml:space="preserve"> for </w:t>
      </w:r>
      <w:r w:rsidR="0015273B">
        <w:t xml:space="preserve">the reasons given in the report </w:t>
      </w:r>
      <w:r w:rsidR="00531262" w:rsidRPr="00D34CE3">
        <w:t xml:space="preserve">subject to </w:t>
      </w:r>
      <w:r w:rsidR="0015273B">
        <w:t xml:space="preserve">no additional public comments being received that raise objections relating to matters that have not already been considered and subject to </w:t>
      </w:r>
      <w:r w:rsidR="00531262" w:rsidRPr="00D34CE3">
        <w:t>planning conditions set out in section 12 of this report and grant planning permission</w:t>
      </w:r>
      <w:r w:rsidR="0015273B">
        <w:t>.</w:t>
      </w:r>
    </w:p>
    <w:p w:rsidR="00531262" w:rsidRPr="0011585C" w:rsidRDefault="00EC42BF" w:rsidP="00D34CE3">
      <w:pPr>
        <w:pStyle w:val="PARAGRAPHB"/>
      </w:pPr>
      <w:r w:rsidRPr="00EC42BF">
        <w:rPr>
          <w:b/>
        </w:rPr>
        <w:t>a</w:t>
      </w:r>
      <w:r w:rsidR="00531262" w:rsidRPr="00EC42BF">
        <w:rPr>
          <w:b/>
        </w:rPr>
        <w:t>gree to delegate authority</w:t>
      </w:r>
      <w:r w:rsidR="00531262" w:rsidRPr="0011585C">
        <w:t xml:space="preserve"> to the </w:t>
      </w:r>
      <w:r w:rsidR="00886CAE">
        <w:t xml:space="preserve">Acting Head of Planning </w:t>
      </w:r>
      <w:r w:rsidR="00B917BB" w:rsidRPr="00B917BB">
        <w:t xml:space="preserve">Services </w:t>
      </w:r>
      <w:r>
        <w:t>to:</w:t>
      </w:r>
    </w:p>
    <w:p w:rsidR="00EC42BF" w:rsidRDefault="00EC42BF" w:rsidP="00466D5A">
      <w:pPr>
        <w:pStyle w:val="BULLETS"/>
      </w:pPr>
      <w:r w:rsidRPr="00D34CE3">
        <w:t>f</w:t>
      </w:r>
      <w:r w:rsidR="00531262" w:rsidRPr="00D34CE3">
        <w:t xml:space="preserve">inalise the recommended conditions as set out in this report including such refinements, amendments, additions and/or deletions as the </w:t>
      </w:r>
      <w:r w:rsidR="00886CAE">
        <w:t xml:space="preserve">Acting Head of Planning </w:t>
      </w:r>
      <w:r w:rsidR="00B917BB" w:rsidRPr="00D34CE3">
        <w:t>Services</w:t>
      </w:r>
      <w:r w:rsidR="00531262" w:rsidRPr="00D34CE3">
        <w:t xml:space="preserve"> considers </w:t>
      </w:r>
      <w:r w:rsidR="00466D5A">
        <w:t>reasonably necessary.</w:t>
      </w:r>
    </w:p>
    <w:p w:rsidR="0015273B" w:rsidRPr="00EC42BF" w:rsidRDefault="0015273B" w:rsidP="0015273B">
      <w:pPr>
        <w:pStyle w:val="BULLETS"/>
        <w:numPr>
          <w:ilvl w:val="0"/>
          <w:numId w:val="0"/>
        </w:numPr>
        <w:ind w:left="1069" w:hanging="360"/>
      </w:pPr>
    </w:p>
    <w:p w:rsidR="00377A39" w:rsidRPr="001951F9" w:rsidRDefault="00377A39" w:rsidP="00D34CE3">
      <w:pPr>
        <w:pStyle w:val="HEADINGA"/>
      </w:pPr>
      <w:r w:rsidRPr="001951F9">
        <w:t>EXECUTIVE SUMMARY</w:t>
      </w:r>
    </w:p>
    <w:p w:rsidR="00377A39" w:rsidRDefault="00B111A6" w:rsidP="0015273B">
      <w:pPr>
        <w:pStyle w:val="PARAGRAPHA"/>
        <w:ind w:left="709" w:hanging="709"/>
      </w:pPr>
      <w:r>
        <w:t xml:space="preserve">This report considers </w:t>
      </w:r>
      <w:r w:rsidR="00394C13">
        <w:t xml:space="preserve">the proposed insertion of a new communal door </w:t>
      </w:r>
      <w:r w:rsidR="00C45CA9">
        <w:t xml:space="preserve">to serve the laundry room and office (as shown on elevation 10 of drawing </w:t>
      </w:r>
      <w:r w:rsidR="00C45CA9" w:rsidRPr="00C45CA9">
        <w:t>OXF-OCC-RSC-00-AR-DR-00003</w:t>
      </w:r>
      <w:r w:rsidR="00C45CA9">
        <w:t xml:space="preserve"> P01). It is also proposed to replace the external communal doors of the apartment complex.</w:t>
      </w:r>
      <w:r w:rsidR="00C45CA9" w:rsidRPr="00C45CA9">
        <w:t xml:space="preserve"> The proposal would have an acceptable impact in terms of design. Officers also consider that the proposal would have an acceptable impact on the amenity of neighbouring properties. </w:t>
      </w:r>
    </w:p>
    <w:p w:rsidR="0015273B" w:rsidRDefault="0015273B" w:rsidP="0015273B">
      <w:pPr>
        <w:pStyle w:val="HEADINGA"/>
        <w:numPr>
          <w:ilvl w:val="0"/>
          <w:numId w:val="0"/>
        </w:numPr>
        <w:ind w:left="709"/>
      </w:pPr>
    </w:p>
    <w:p w:rsidR="00377A39" w:rsidRDefault="00377A39" w:rsidP="003B278C">
      <w:pPr>
        <w:pStyle w:val="HEADINGA"/>
      </w:pPr>
      <w:r>
        <w:lastRenderedPageBreak/>
        <w:t>LEGAL AGREEMENT</w:t>
      </w:r>
    </w:p>
    <w:p w:rsidR="00377A39" w:rsidRDefault="00C45CA9" w:rsidP="0015273B">
      <w:pPr>
        <w:pStyle w:val="PARAGRAPHA"/>
        <w:ind w:left="709" w:hanging="709"/>
      </w:pPr>
      <w:r>
        <w:t>A legal agreement is not required for this application.</w:t>
      </w:r>
    </w:p>
    <w:p w:rsidR="00377A39" w:rsidRDefault="001350CE" w:rsidP="00D34CE3">
      <w:pPr>
        <w:pStyle w:val="HEADINGA"/>
      </w:pPr>
      <w:r>
        <w:t>COMMUNITY INFRASTRUCTURE LEVY (CIL)</w:t>
      </w:r>
    </w:p>
    <w:p w:rsidR="001350CE" w:rsidRDefault="003B278C" w:rsidP="0015273B">
      <w:pPr>
        <w:pStyle w:val="PARAGRAPHA"/>
        <w:ind w:left="709" w:hanging="709"/>
        <w:rPr>
          <w:b/>
        </w:rPr>
      </w:pPr>
      <w:r>
        <w:t xml:space="preserve">The </w:t>
      </w:r>
      <w:r w:rsidR="00C45CA9" w:rsidRPr="00C45CA9">
        <w:t xml:space="preserve">proposal is not CIL liable as the amount of </w:t>
      </w:r>
      <w:proofErr w:type="spellStart"/>
      <w:r w:rsidR="00C45CA9" w:rsidRPr="00C45CA9">
        <w:t>floorspace</w:t>
      </w:r>
      <w:proofErr w:type="spellEnd"/>
      <w:r w:rsidR="00C45CA9" w:rsidRPr="00C45CA9">
        <w:t xml:space="preserve"> gained would be below the threshold where CIL would be required.</w:t>
      </w:r>
    </w:p>
    <w:p w:rsidR="008E0CD8" w:rsidRDefault="008E0CD8" w:rsidP="00D34CE3">
      <w:pPr>
        <w:pStyle w:val="HEADINGA"/>
      </w:pPr>
      <w:r w:rsidRPr="008E0CD8">
        <w:t>SITE AND SURROUNDINGS</w:t>
      </w:r>
    </w:p>
    <w:p w:rsidR="008E0CD8" w:rsidRDefault="00C45CA9" w:rsidP="0015273B">
      <w:pPr>
        <w:pStyle w:val="PARAGRAPHA"/>
        <w:ind w:left="709" w:hanging="709"/>
      </w:pPr>
      <w:r>
        <w:t xml:space="preserve">Riverside Court is a purpose built apartment complex owned by Oxford City Council. It was erected in the late 1980’s and is of yellow brick construction and has remained largely unaltered from its original form. </w:t>
      </w:r>
      <w:r w:rsidR="00C71C47">
        <w:t>A number of communal doors serve the residents of the flats; these</w:t>
      </w:r>
      <w:r w:rsidR="00C71C47" w:rsidRPr="00C71C47">
        <w:t xml:space="preserve"> are of aluminium </w:t>
      </w:r>
      <w:r w:rsidR="00C71C47">
        <w:t>construction</w:t>
      </w:r>
      <w:r w:rsidR="00C71C47" w:rsidRPr="00C71C47">
        <w:t xml:space="preserve"> with a single transom and glazed above and below the door transom. The </w:t>
      </w:r>
      <w:r w:rsidR="00C71C47">
        <w:t>doors</w:t>
      </w:r>
      <w:r w:rsidR="00C71C47" w:rsidRPr="00C71C47">
        <w:t xml:space="preserve"> are</w:t>
      </w:r>
      <w:r w:rsidR="00C71C47">
        <w:t xml:space="preserve"> finished in</w:t>
      </w:r>
      <w:r w:rsidR="00C71C47" w:rsidRPr="00C71C47">
        <w:t xml:space="preserve"> either polished aluminium or powder coated</w:t>
      </w:r>
      <w:r w:rsidR="00C71C47">
        <w:t xml:space="preserve"> paint in</w:t>
      </w:r>
      <w:r w:rsidR="00C71C47" w:rsidRPr="00C71C47">
        <w:t xml:space="preserve"> either brown or blue</w:t>
      </w:r>
      <w:r w:rsidR="00C71C47">
        <w:t xml:space="preserve"> colours</w:t>
      </w:r>
      <w:r w:rsidR="00C71C47" w:rsidRPr="00C71C47">
        <w:t>.</w:t>
      </w:r>
    </w:p>
    <w:p w:rsidR="00071FE2" w:rsidRDefault="00071FE2" w:rsidP="0015273B">
      <w:pPr>
        <w:pStyle w:val="PARAGRAPHA"/>
        <w:ind w:left="709" w:hanging="709"/>
      </w:pPr>
      <w:r>
        <w:t xml:space="preserve">The site is surrounded by other apartment complexes to the east and north while the river Thames lies a short distance to the north. Across the public highway to the south, Long Ford Close </w:t>
      </w:r>
      <w:proofErr w:type="gramStart"/>
      <w:r>
        <w:t>lies</w:t>
      </w:r>
      <w:proofErr w:type="gramEnd"/>
      <w:r>
        <w:t xml:space="preserve"> a primary school. To the west lies an area of green with intersecting public footpaths as well as </w:t>
      </w:r>
      <w:proofErr w:type="spellStart"/>
      <w:r>
        <w:t>Grandpont</w:t>
      </w:r>
      <w:proofErr w:type="spellEnd"/>
      <w:r>
        <w:t xml:space="preserve"> Car Park.</w:t>
      </w:r>
    </w:p>
    <w:p w:rsidR="00C71C47" w:rsidRDefault="00C71C47" w:rsidP="0015273B">
      <w:pPr>
        <w:pStyle w:val="PARAGRAPHA"/>
        <w:ind w:left="709" w:hanging="709"/>
      </w:pPr>
      <w:r>
        <w:t xml:space="preserve">While it is noted that the site lies near to the Central Conservation Area, due to views not being afforded of it from the conservation area in conjunction with the fact that the site lies behind tall buildings, it is considered </w:t>
      </w:r>
      <w:r w:rsidR="000E729E">
        <w:t>that the site would not form part of the setting of the conservation area.</w:t>
      </w:r>
    </w:p>
    <w:p w:rsidR="00853971" w:rsidRDefault="003B278C" w:rsidP="0015273B">
      <w:pPr>
        <w:pStyle w:val="PARAGRAPHA"/>
        <w:ind w:left="709" w:hanging="709"/>
      </w:pPr>
      <w:r w:rsidRPr="003B278C">
        <w:t xml:space="preserve">See </w:t>
      </w:r>
      <w:r>
        <w:t xml:space="preserve">block </w:t>
      </w:r>
      <w:r w:rsidRPr="003B278C">
        <w:t>plan below</w:t>
      </w:r>
      <w:r>
        <w:t>:</w:t>
      </w:r>
    </w:p>
    <w:p w:rsidR="00706B5E" w:rsidRPr="00706B5E" w:rsidRDefault="0015273B" w:rsidP="00706B5E">
      <w:pPr>
        <w:autoSpaceDE/>
        <w:autoSpaceDN/>
      </w:pPr>
      <w:r>
        <w:rPr>
          <w:noProof/>
          <w:lang w:eastAsia="en-GB"/>
        </w:rPr>
        <mc:AlternateContent>
          <mc:Choice Requires="wps">
            <w:drawing>
              <wp:anchor distT="0" distB="0" distL="114300" distR="114300" simplePos="0" relativeHeight="251659264" behindDoc="0" locked="0" layoutInCell="1" allowOverlap="1" wp14:anchorId="1ABDCD3B" wp14:editId="7E7705EE">
                <wp:simplePos x="0" y="0"/>
                <wp:positionH relativeFrom="column">
                  <wp:posOffset>221935</wp:posOffset>
                </wp:positionH>
                <wp:positionV relativeFrom="paragraph">
                  <wp:posOffset>167005</wp:posOffset>
                </wp:positionV>
                <wp:extent cx="1270000" cy="1403985"/>
                <wp:effectExtent l="0" t="438150" r="0" b="4292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8901791">
                          <a:off x="0" y="0"/>
                          <a:ext cx="1270000" cy="1403985"/>
                        </a:xfrm>
                        <a:prstGeom prst="rect">
                          <a:avLst/>
                        </a:prstGeom>
                        <a:solidFill>
                          <a:srgbClr val="FFFFFF"/>
                        </a:solidFill>
                        <a:ln w="9525">
                          <a:solidFill>
                            <a:schemeClr val="bg1"/>
                          </a:solidFill>
                          <a:miter lim="800000"/>
                          <a:headEnd/>
                          <a:tailEnd/>
                        </a:ln>
                      </wps:spPr>
                      <wps:txbx>
                        <w:txbxContent>
                          <w:p w:rsidR="0015273B" w:rsidRDefault="0015273B">
                            <w:r>
                              <w:t>River Thames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5pt;margin-top:13.15pt;width:100pt;height:110.55pt;rotation:-2947164fd;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" strokecolor="white [3212]">
                <v:textbox style="mso-fit-shape-to-text:t">
                  <w:txbxContent>
                    <w:p w:rsidR="0015273B" w:rsidRDefault="0015273B">
                      <w:r>
                        <w:t>River Thames</w:t>
                      </w:r>
                    </w:p>
                  </w:txbxContent>
                </v:textbox>
              </v:shape>
            </w:pict>
          </mc:Fallback>
        </mc:AlternateContent>
      </w:r>
      <w:r w:rsidR="00466D5A">
        <w:rPr>
          <w:noProof/>
          <w:lang w:eastAsia="en-GB"/>
        </w:rPr>
        <w:drawing>
          <wp:inline distT="0" distB="0" distL="0" distR="0" wp14:anchorId="372B6FD3" wp14:editId="186DCEF1">
            <wp:extent cx="307340" cy="951230"/>
            <wp:effectExtent l="0" t="0" r="0" b="127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7340" cy="951230"/>
                    </a:xfrm>
                    <a:prstGeom prst="rect">
                      <a:avLst/>
                    </a:prstGeom>
                    <a:noFill/>
                    <a:ln>
                      <a:noFill/>
                    </a:ln>
                  </pic:spPr>
                </pic:pic>
              </a:graphicData>
            </a:graphic>
          </wp:inline>
        </w:drawing>
      </w:r>
      <w:r>
        <w:rPr>
          <w:noProof/>
          <w:lang w:eastAsia="en-GB"/>
        </w:rPr>
        <w:drawing>
          <wp:inline distT="0" distB="0" distL="0" distR="0" wp14:anchorId="47A8AC7F" wp14:editId="2CEE5FC7">
            <wp:extent cx="3335731" cy="2723671"/>
            <wp:effectExtent l="19050" t="19050" r="17145" b="196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331828" cy="2720484"/>
                    </a:xfrm>
                    <a:prstGeom prst="rect">
                      <a:avLst/>
                    </a:prstGeom>
                    <a:ln w="12700">
                      <a:solidFill>
                        <a:schemeClr val="tx1"/>
                      </a:solidFill>
                    </a:ln>
                  </pic:spPr>
                </pic:pic>
              </a:graphicData>
            </a:graphic>
          </wp:inline>
        </w:drawing>
      </w:r>
    </w:p>
    <w:p w:rsidR="00706B5E" w:rsidRPr="00706B5E" w:rsidRDefault="00706B5E" w:rsidP="00706B5E">
      <w:pPr>
        <w:autoSpaceDE/>
        <w:autoSpaceDN/>
        <w:rPr>
          <w:sz w:val="16"/>
          <w:szCs w:val="16"/>
        </w:rPr>
      </w:pPr>
      <w:r w:rsidRPr="00706B5E">
        <w:rPr>
          <w:sz w:val="16"/>
          <w:szCs w:val="16"/>
        </w:rPr>
        <w:t>© Crown C</w:t>
      </w:r>
      <w:r w:rsidR="0011625B">
        <w:rPr>
          <w:sz w:val="16"/>
          <w:szCs w:val="16"/>
        </w:rPr>
        <w:t>opyright and database right 2019</w:t>
      </w:r>
      <w:r w:rsidRPr="00706B5E">
        <w:rPr>
          <w:sz w:val="16"/>
          <w:szCs w:val="16"/>
        </w:rPr>
        <w:t>.</w:t>
      </w:r>
    </w:p>
    <w:p w:rsidR="00706B5E" w:rsidRPr="00706B5E" w:rsidRDefault="00706B5E" w:rsidP="00706B5E">
      <w:pPr>
        <w:tabs>
          <w:tab w:val="center" w:pos="4153"/>
          <w:tab w:val="right" w:pos="8306"/>
        </w:tabs>
        <w:autoSpaceDE/>
        <w:autoSpaceDN/>
        <w:rPr>
          <w:szCs w:val="16"/>
        </w:rPr>
      </w:pPr>
      <w:r w:rsidRPr="00706B5E">
        <w:rPr>
          <w:sz w:val="16"/>
          <w:szCs w:val="16"/>
        </w:rPr>
        <w:t>Ordnance Survey 100019348</w:t>
      </w:r>
    </w:p>
    <w:p w:rsidR="00706B5E" w:rsidRDefault="00706B5E" w:rsidP="00706B5E">
      <w:pPr>
        <w:ind w:left="426"/>
        <w:jc w:val="both"/>
        <w:rPr>
          <w:bCs/>
        </w:rPr>
      </w:pPr>
    </w:p>
    <w:p w:rsidR="0015273B" w:rsidRDefault="0015273B" w:rsidP="00706B5E">
      <w:pPr>
        <w:ind w:left="426"/>
        <w:jc w:val="both"/>
        <w:rPr>
          <w:bCs/>
        </w:rPr>
      </w:pPr>
    </w:p>
    <w:p w:rsidR="008E0CD8" w:rsidRPr="008E0CD8" w:rsidRDefault="008E0CD8" w:rsidP="00D34CE3">
      <w:pPr>
        <w:pStyle w:val="HEADINGA"/>
      </w:pPr>
      <w:r>
        <w:lastRenderedPageBreak/>
        <w:t>PROPOSAL</w:t>
      </w:r>
    </w:p>
    <w:p w:rsidR="008E0CD8" w:rsidRDefault="008E0CD8" w:rsidP="0015273B">
      <w:pPr>
        <w:pStyle w:val="PARAGRAPHA"/>
        <w:ind w:left="709" w:hanging="715"/>
      </w:pPr>
      <w:r w:rsidRPr="003B278C">
        <w:t>The application proposes</w:t>
      </w:r>
      <w:r w:rsidR="000E729E">
        <w:t xml:space="preserve"> the installation of an additional communal door to serve the existing office and laundry room in conjunction with the replacement of the existing communal doors, both single and combination. The doors serving the curtain wall and the entrances which feature glass roof canopies do not form part of this application.</w:t>
      </w:r>
    </w:p>
    <w:p w:rsidR="000E729E" w:rsidRPr="003B278C" w:rsidRDefault="000E729E" w:rsidP="0015273B">
      <w:pPr>
        <w:pStyle w:val="PARAGRAPHA"/>
        <w:ind w:left="709" w:hanging="715"/>
      </w:pPr>
      <w:r w:rsidRPr="000E729E">
        <w:t xml:space="preserve">The </w:t>
      </w:r>
      <w:r>
        <w:t>replacement doors would be</w:t>
      </w:r>
      <w:r w:rsidRPr="000E729E">
        <w:t xml:space="preserve"> high security stainless steel warrior doors</w:t>
      </w:r>
      <w:r>
        <w:t>. W</w:t>
      </w:r>
      <w:r w:rsidRPr="000E729E">
        <w:t>here there are combination frames</w:t>
      </w:r>
      <w:r>
        <w:t>,</w:t>
      </w:r>
      <w:r w:rsidRPr="000E729E">
        <w:t xml:space="preserve"> the </w:t>
      </w:r>
      <w:r>
        <w:t xml:space="preserve">replacement </w:t>
      </w:r>
      <w:r w:rsidRPr="000E729E">
        <w:t xml:space="preserve">doors </w:t>
      </w:r>
      <w:r>
        <w:t>would include a side panel. The replacement doors would have a greater width than the existing</w:t>
      </w:r>
      <w:r w:rsidRPr="000E729E">
        <w:t xml:space="preserve"> to incorporate the maglock vertical security locks. </w:t>
      </w:r>
      <w:r>
        <w:t>Where the</w:t>
      </w:r>
      <w:r w:rsidRPr="000E729E">
        <w:t xml:space="preserve"> existing communal doors have one transom, the proposed doors </w:t>
      </w:r>
      <w:r>
        <w:t>would</w:t>
      </w:r>
      <w:r w:rsidRPr="000E729E">
        <w:t xml:space="preserve"> have two additional transoms spaced equally and glazed in between.</w:t>
      </w:r>
      <w:r>
        <w:t xml:space="preserve"> T</w:t>
      </w:r>
      <w:r w:rsidRPr="000E729E">
        <w:t xml:space="preserve">he replacement doors </w:t>
      </w:r>
      <w:r>
        <w:t>would be finished in a</w:t>
      </w:r>
      <w:r w:rsidRPr="000E729E">
        <w:t xml:space="preserve"> powder colour brown to match the existing installed window colours.</w:t>
      </w:r>
    </w:p>
    <w:p w:rsidR="008E0CD8" w:rsidRPr="008E0CD8" w:rsidRDefault="008E0CD8" w:rsidP="00D34CE3">
      <w:pPr>
        <w:pStyle w:val="HEADINGA"/>
      </w:pPr>
      <w:r>
        <w:t>RELEVANT PLANNING HISTORY</w:t>
      </w:r>
    </w:p>
    <w:p w:rsidR="008E0CD8" w:rsidRPr="008E0CD8" w:rsidRDefault="008E0CD8" w:rsidP="00D34CE3">
      <w:pPr>
        <w:pStyle w:val="PARAGRAPHA"/>
      </w:pPr>
      <w:r>
        <w:t>The table below sets out the relevant planning history for the application site:</w:t>
      </w:r>
    </w:p>
    <w:tbl>
      <w:tblPr>
        <w:tblStyle w:val="TableGrid"/>
        <w:tblW w:w="8844" w:type="dxa"/>
        <w:tblInd w:w="426" w:type="dxa"/>
        <w:tblLayout w:type="fixed"/>
        <w:tblLook w:val="04A0" w:firstRow="1" w:lastRow="0" w:firstColumn="1" w:lastColumn="0" w:noHBand="0" w:noVBand="1"/>
      </w:tblPr>
      <w:tblGrid>
        <w:gridCol w:w="8844"/>
      </w:tblGrid>
      <w:tr w:rsidR="006F23C6" w:rsidRPr="002F4C38" w:rsidTr="006F23C6">
        <w:tc>
          <w:tcPr>
            <w:tcW w:w="8844" w:type="dxa"/>
          </w:tcPr>
          <w:p w:rsidR="006F23C6" w:rsidRDefault="006F23C6" w:rsidP="006F23C6">
            <w:pPr>
              <w:pStyle w:val="CAPS"/>
              <w:rPr>
                <w:rFonts w:ascii="Arial" w:hAnsi="Arial" w:cs="Arial"/>
                <w:sz w:val="24"/>
                <w:szCs w:val="24"/>
              </w:rPr>
            </w:pPr>
          </w:p>
          <w:p w:rsidR="006F23C6" w:rsidRDefault="006F23C6" w:rsidP="006F23C6">
            <w:pPr>
              <w:pStyle w:val="CAPS"/>
              <w:rPr>
                <w:rFonts w:ascii="Arial" w:hAnsi="Arial" w:cs="Arial"/>
                <w:sz w:val="24"/>
                <w:szCs w:val="24"/>
              </w:rPr>
            </w:pPr>
            <w:r>
              <w:rPr>
                <w:rFonts w:ascii="Arial" w:hAnsi="Arial" w:cs="Arial"/>
                <w:sz w:val="24"/>
                <w:szCs w:val="24"/>
              </w:rPr>
              <w:t>75/00052/A_H - Residential development at a density of 70 bed spaces per acre. PER 19th February 1975.</w:t>
            </w:r>
          </w:p>
          <w:p w:rsidR="006F23C6" w:rsidRPr="002F4C38" w:rsidRDefault="006F23C6" w:rsidP="006F23C6">
            <w:pPr>
              <w:pStyle w:val="CAPS"/>
              <w:rPr>
                <w:rFonts w:ascii="Arial" w:hAnsi="Arial" w:cs="Arial"/>
                <w:sz w:val="24"/>
                <w:szCs w:val="24"/>
                <w:lang w:val="fr-FR"/>
              </w:rPr>
            </w:pPr>
          </w:p>
          <w:p w:rsidR="006F23C6" w:rsidRPr="002F4C38" w:rsidRDefault="006F23C6" w:rsidP="006F23C6">
            <w:pPr>
              <w:pStyle w:val="CAPS"/>
              <w:rPr>
                <w:rFonts w:ascii="Arial" w:hAnsi="Arial" w:cs="Arial"/>
                <w:sz w:val="24"/>
                <w:szCs w:val="24"/>
                <w:lang w:val="fr-FR"/>
              </w:rPr>
            </w:pPr>
            <w:r w:rsidRPr="002F4C38">
              <w:rPr>
                <w:rFonts w:ascii="Arial" w:hAnsi="Arial" w:cs="Arial"/>
                <w:sz w:val="24"/>
                <w:szCs w:val="24"/>
                <w:lang w:val="fr-FR"/>
              </w:rPr>
              <w:t xml:space="preserve">85/00808/GF - 79 flats for single people and one </w:t>
            </w:r>
            <w:proofErr w:type="spellStart"/>
            <w:r w:rsidRPr="002F4C38">
              <w:rPr>
                <w:rFonts w:ascii="Arial" w:hAnsi="Arial" w:cs="Arial"/>
                <w:sz w:val="24"/>
                <w:szCs w:val="24"/>
                <w:lang w:val="fr-FR"/>
              </w:rPr>
              <w:t>caretaker's</w:t>
            </w:r>
            <w:proofErr w:type="spellEnd"/>
            <w:r w:rsidRPr="002F4C38">
              <w:rPr>
                <w:rFonts w:ascii="Arial" w:hAnsi="Arial" w:cs="Arial"/>
                <w:sz w:val="24"/>
                <w:szCs w:val="24"/>
                <w:lang w:val="fr-FR"/>
              </w:rPr>
              <w:t xml:space="preserve"> flat, </w:t>
            </w:r>
            <w:proofErr w:type="spellStart"/>
            <w:r w:rsidRPr="002F4C38">
              <w:rPr>
                <w:rFonts w:ascii="Arial" w:hAnsi="Arial" w:cs="Arial"/>
                <w:sz w:val="24"/>
                <w:szCs w:val="24"/>
                <w:lang w:val="fr-FR"/>
              </w:rPr>
              <w:t>with</w:t>
            </w:r>
            <w:proofErr w:type="spellEnd"/>
            <w:r w:rsidRPr="002F4C38">
              <w:rPr>
                <w:rFonts w:ascii="Arial" w:hAnsi="Arial" w:cs="Arial"/>
                <w:sz w:val="24"/>
                <w:szCs w:val="24"/>
                <w:lang w:val="fr-FR"/>
              </w:rPr>
              <w:t xml:space="preserve"> 36 car parking </w:t>
            </w:r>
            <w:proofErr w:type="spellStart"/>
            <w:r w:rsidRPr="002F4C38">
              <w:rPr>
                <w:rFonts w:ascii="Arial" w:hAnsi="Arial" w:cs="Arial"/>
                <w:sz w:val="24"/>
                <w:szCs w:val="24"/>
                <w:lang w:val="fr-FR"/>
              </w:rPr>
              <w:t>spaces</w:t>
            </w:r>
            <w:proofErr w:type="spellEnd"/>
            <w:r w:rsidRPr="002F4C38">
              <w:rPr>
                <w:rFonts w:ascii="Arial" w:hAnsi="Arial" w:cs="Arial"/>
                <w:sz w:val="24"/>
                <w:szCs w:val="24"/>
                <w:lang w:val="fr-FR"/>
              </w:rPr>
              <w:t xml:space="preserve"> and 4 garages (</w:t>
            </w:r>
            <w:proofErr w:type="spellStart"/>
            <w:r w:rsidRPr="002F4C38">
              <w:rPr>
                <w:rFonts w:ascii="Arial" w:hAnsi="Arial" w:cs="Arial"/>
                <w:sz w:val="24"/>
                <w:szCs w:val="24"/>
                <w:lang w:val="fr-FR"/>
              </w:rPr>
              <w:t>Amended</w:t>
            </w:r>
            <w:proofErr w:type="spellEnd"/>
            <w:r w:rsidRPr="002F4C38">
              <w:rPr>
                <w:rFonts w:ascii="Arial" w:hAnsi="Arial" w:cs="Arial"/>
                <w:sz w:val="24"/>
                <w:szCs w:val="24"/>
                <w:lang w:val="fr-FR"/>
              </w:rPr>
              <w:t xml:space="preserve"> Plans). DMD 10th </w:t>
            </w:r>
            <w:proofErr w:type="spellStart"/>
            <w:r w:rsidRPr="002F4C38">
              <w:rPr>
                <w:rFonts w:ascii="Arial" w:hAnsi="Arial" w:cs="Arial"/>
                <w:sz w:val="24"/>
                <w:szCs w:val="24"/>
                <w:lang w:val="fr-FR"/>
              </w:rPr>
              <w:t>December</w:t>
            </w:r>
            <w:proofErr w:type="spellEnd"/>
            <w:r w:rsidRPr="002F4C38">
              <w:rPr>
                <w:rFonts w:ascii="Arial" w:hAnsi="Arial" w:cs="Arial"/>
                <w:sz w:val="24"/>
                <w:szCs w:val="24"/>
                <w:lang w:val="fr-FR"/>
              </w:rPr>
              <w:t xml:space="preserve"> 1985.</w:t>
            </w:r>
          </w:p>
          <w:p w:rsidR="006F23C6" w:rsidRPr="002F4C38" w:rsidRDefault="006F23C6" w:rsidP="006F23C6">
            <w:pPr>
              <w:pStyle w:val="CAPS"/>
              <w:rPr>
                <w:rFonts w:ascii="Arial" w:hAnsi="Arial" w:cs="Arial"/>
                <w:sz w:val="24"/>
                <w:szCs w:val="24"/>
                <w:lang w:val="fr-FR"/>
              </w:rPr>
            </w:pPr>
          </w:p>
          <w:p w:rsidR="006F23C6" w:rsidRPr="002F4C38" w:rsidRDefault="006F23C6" w:rsidP="006F23C6">
            <w:pPr>
              <w:pStyle w:val="CAPS"/>
              <w:rPr>
                <w:rFonts w:ascii="Arial" w:hAnsi="Arial" w:cs="Arial"/>
                <w:sz w:val="24"/>
                <w:szCs w:val="24"/>
                <w:lang w:val="fr-FR"/>
              </w:rPr>
            </w:pPr>
            <w:r w:rsidRPr="002F4C38">
              <w:rPr>
                <w:rFonts w:ascii="Arial" w:hAnsi="Arial" w:cs="Arial"/>
                <w:sz w:val="24"/>
                <w:szCs w:val="24"/>
                <w:lang w:val="fr-FR"/>
              </w:rPr>
              <w:t xml:space="preserve">97/01277/GF - Single </w:t>
            </w:r>
            <w:proofErr w:type="spellStart"/>
            <w:r w:rsidRPr="002F4C38">
              <w:rPr>
                <w:rFonts w:ascii="Arial" w:hAnsi="Arial" w:cs="Arial"/>
                <w:sz w:val="24"/>
                <w:szCs w:val="24"/>
                <w:lang w:val="fr-FR"/>
              </w:rPr>
              <w:t>storey</w:t>
            </w:r>
            <w:proofErr w:type="spellEnd"/>
            <w:r w:rsidRPr="002F4C38">
              <w:rPr>
                <w:rFonts w:ascii="Arial" w:hAnsi="Arial" w:cs="Arial"/>
                <w:sz w:val="24"/>
                <w:szCs w:val="24"/>
                <w:lang w:val="fr-FR"/>
              </w:rPr>
              <w:t xml:space="preserve"> extension to </w:t>
            </w:r>
            <w:proofErr w:type="spellStart"/>
            <w:r w:rsidRPr="002F4C38">
              <w:rPr>
                <w:rFonts w:ascii="Arial" w:hAnsi="Arial" w:cs="Arial"/>
                <w:sz w:val="24"/>
                <w:szCs w:val="24"/>
                <w:lang w:val="fr-FR"/>
              </w:rPr>
              <w:t>wardens</w:t>
            </w:r>
            <w:proofErr w:type="spellEnd"/>
            <w:r w:rsidRPr="002F4C38">
              <w:rPr>
                <w:rFonts w:ascii="Arial" w:hAnsi="Arial" w:cs="Arial"/>
                <w:sz w:val="24"/>
                <w:szCs w:val="24"/>
                <w:lang w:val="fr-FR"/>
              </w:rPr>
              <w:t xml:space="preserve"> office and </w:t>
            </w:r>
            <w:proofErr w:type="spellStart"/>
            <w:r w:rsidRPr="002F4C38">
              <w:rPr>
                <w:rFonts w:ascii="Arial" w:hAnsi="Arial" w:cs="Arial"/>
                <w:sz w:val="24"/>
                <w:szCs w:val="24"/>
                <w:lang w:val="fr-FR"/>
              </w:rPr>
              <w:t>erection</w:t>
            </w:r>
            <w:proofErr w:type="spellEnd"/>
            <w:r w:rsidRPr="002F4C38">
              <w:rPr>
                <w:rFonts w:ascii="Arial" w:hAnsi="Arial" w:cs="Arial"/>
                <w:sz w:val="24"/>
                <w:szCs w:val="24"/>
                <w:lang w:val="fr-FR"/>
              </w:rPr>
              <w:t xml:space="preserve"> of </w:t>
            </w:r>
            <w:proofErr w:type="spellStart"/>
            <w:r w:rsidRPr="002F4C38">
              <w:rPr>
                <w:rFonts w:ascii="Arial" w:hAnsi="Arial" w:cs="Arial"/>
                <w:sz w:val="24"/>
                <w:szCs w:val="24"/>
                <w:lang w:val="fr-FR"/>
              </w:rPr>
              <w:t>gate</w:t>
            </w:r>
            <w:proofErr w:type="spellEnd"/>
            <w:r w:rsidRPr="002F4C38">
              <w:rPr>
                <w:rFonts w:ascii="Arial" w:hAnsi="Arial" w:cs="Arial"/>
                <w:sz w:val="24"/>
                <w:szCs w:val="24"/>
                <w:lang w:val="fr-FR"/>
              </w:rPr>
              <w:t xml:space="preserve"> and 'pergola' at 1st </w:t>
            </w:r>
            <w:proofErr w:type="spellStart"/>
            <w:r w:rsidRPr="002F4C38">
              <w:rPr>
                <w:rFonts w:ascii="Arial" w:hAnsi="Arial" w:cs="Arial"/>
                <w:sz w:val="24"/>
                <w:szCs w:val="24"/>
                <w:lang w:val="fr-FR"/>
              </w:rPr>
              <w:t>floor</w:t>
            </w:r>
            <w:proofErr w:type="spellEnd"/>
            <w:r w:rsidRPr="002F4C38">
              <w:rPr>
                <w:rFonts w:ascii="Arial" w:hAnsi="Arial" w:cs="Arial"/>
                <w:sz w:val="24"/>
                <w:szCs w:val="24"/>
                <w:lang w:val="fr-FR"/>
              </w:rPr>
              <w:t xml:space="preserve"> </w:t>
            </w:r>
            <w:proofErr w:type="spellStart"/>
            <w:r w:rsidRPr="002F4C38">
              <w:rPr>
                <w:rFonts w:ascii="Arial" w:hAnsi="Arial" w:cs="Arial"/>
                <w:sz w:val="24"/>
                <w:szCs w:val="24"/>
                <w:lang w:val="fr-FR"/>
              </w:rPr>
              <w:t>level</w:t>
            </w:r>
            <w:proofErr w:type="spellEnd"/>
            <w:proofErr w:type="gramStart"/>
            <w:r w:rsidRPr="002F4C38">
              <w:rPr>
                <w:rFonts w:ascii="Arial" w:hAnsi="Arial" w:cs="Arial"/>
                <w:sz w:val="24"/>
                <w:szCs w:val="24"/>
                <w:lang w:val="fr-FR"/>
              </w:rPr>
              <w:t>..</w:t>
            </w:r>
            <w:proofErr w:type="gramEnd"/>
            <w:r w:rsidRPr="002F4C38">
              <w:rPr>
                <w:rFonts w:ascii="Arial" w:hAnsi="Arial" w:cs="Arial"/>
                <w:sz w:val="24"/>
                <w:szCs w:val="24"/>
                <w:lang w:val="fr-FR"/>
              </w:rPr>
              <w:t xml:space="preserve"> PER 18th </w:t>
            </w:r>
            <w:proofErr w:type="spellStart"/>
            <w:r w:rsidRPr="002F4C38">
              <w:rPr>
                <w:rFonts w:ascii="Arial" w:hAnsi="Arial" w:cs="Arial"/>
                <w:sz w:val="24"/>
                <w:szCs w:val="24"/>
                <w:lang w:val="fr-FR"/>
              </w:rPr>
              <w:t>September</w:t>
            </w:r>
            <w:proofErr w:type="spellEnd"/>
            <w:r w:rsidRPr="002F4C38">
              <w:rPr>
                <w:rFonts w:ascii="Arial" w:hAnsi="Arial" w:cs="Arial"/>
                <w:sz w:val="24"/>
                <w:szCs w:val="24"/>
                <w:lang w:val="fr-FR"/>
              </w:rPr>
              <w:t xml:space="preserve"> 1997.</w:t>
            </w:r>
          </w:p>
          <w:p w:rsidR="006F23C6" w:rsidRPr="002F4C38" w:rsidRDefault="006F23C6" w:rsidP="006F23C6">
            <w:pPr>
              <w:pStyle w:val="CAPS"/>
              <w:rPr>
                <w:rFonts w:ascii="Arial" w:hAnsi="Arial" w:cs="Arial"/>
                <w:sz w:val="24"/>
                <w:szCs w:val="24"/>
                <w:lang w:val="fr-FR"/>
              </w:rPr>
            </w:pPr>
          </w:p>
          <w:p w:rsidR="006F23C6" w:rsidRPr="002F4C38" w:rsidRDefault="006F23C6" w:rsidP="006F23C6">
            <w:pPr>
              <w:pStyle w:val="CAPS"/>
              <w:rPr>
                <w:rFonts w:ascii="Arial" w:hAnsi="Arial" w:cs="Arial"/>
                <w:sz w:val="24"/>
                <w:szCs w:val="24"/>
                <w:lang w:val="fr-FR"/>
              </w:rPr>
            </w:pPr>
            <w:r w:rsidRPr="002F4C38">
              <w:rPr>
                <w:rFonts w:ascii="Arial" w:hAnsi="Arial" w:cs="Arial"/>
                <w:sz w:val="24"/>
                <w:szCs w:val="24"/>
                <w:lang w:val="fr-FR"/>
              </w:rPr>
              <w:t xml:space="preserve">04/00843/FUL - </w:t>
            </w:r>
            <w:proofErr w:type="spellStart"/>
            <w:r w:rsidRPr="002F4C38">
              <w:rPr>
                <w:rFonts w:ascii="Arial" w:hAnsi="Arial" w:cs="Arial"/>
                <w:sz w:val="24"/>
                <w:szCs w:val="24"/>
                <w:lang w:val="fr-FR"/>
              </w:rPr>
              <w:t>Window</w:t>
            </w:r>
            <w:proofErr w:type="spellEnd"/>
            <w:r w:rsidRPr="002F4C38">
              <w:rPr>
                <w:rFonts w:ascii="Arial" w:hAnsi="Arial" w:cs="Arial"/>
                <w:sz w:val="24"/>
                <w:szCs w:val="24"/>
                <w:lang w:val="fr-FR"/>
              </w:rPr>
              <w:t xml:space="preserve"> and </w:t>
            </w:r>
            <w:proofErr w:type="spellStart"/>
            <w:r w:rsidRPr="002F4C38">
              <w:rPr>
                <w:rFonts w:ascii="Arial" w:hAnsi="Arial" w:cs="Arial"/>
                <w:sz w:val="24"/>
                <w:szCs w:val="24"/>
                <w:lang w:val="fr-FR"/>
              </w:rPr>
              <w:t>door</w:t>
            </w:r>
            <w:proofErr w:type="spellEnd"/>
            <w:r w:rsidRPr="002F4C38">
              <w:rPr>
                <w:rFonts w:ascii="Arial" w:hAnsi="Arial" w:cs="Arial"/>
                <w:sz w:val="24"/>
                <w:szCs w:val="24"/>
                <w:lang w:val="fr-FR"/>
              </w:rPr>
              <w:t xml:space="preserve"> replacement</w:t>
            </w:r>
            <w:proofErr w:type="gramStart"/>
            <w:r w:rsidRPr="002F4C38">
              <w:rPr>
                <w:rFonts w:ascii="Arial" w:hAnsi="Arial" w:cs="Arial"/>
                <w:sz w:val="24"/>
                <w:szCs w:val="24"/>
                <w:lang w:val="fr-FR"/>
              </w:rPr>
              <w:t>..</w:t>
            </w:r>
            <w:proofErr w:type="gramEnd"/>
            <w:r w:rsidRPr="002F4C38">
              <w:rPr>
                <w:rFonts w:ascii="Arial" w:hAnsi="Arial" w:cs="Arial"/>
                <w:sz w:val="24"/>
                <w:szCs w:val="24"/>
                <w:lang w:val="fr-FR"/>
              </w:rPr>
              <w:t xml:space="preserve"> PWD 14th May 2004.</w:t>
            </w:r>
          </w:p>
          <w:p w:rsidR="006F23C6" w:rsidRPr="002F4C38" w:rsidRDefault="006F23C6" w:rsidP="006F23C6">
            <w:pPr>
              <w:pStyle w:val="CAPS"/>
              <w:rPr>
                <w:rFonts w:ascii="Arial" w:hAnsi="Arial" w:cs="Arial"/>
                <w:sz w:val="24"/>
                <w:szCs w:val="24"/>
                <w:lang w:val="fr-FR"/>
              </w:rPr>
            </w:pPr>
          </w:p>
          <w:p w:rsidR="006F23C6" w:rsidRPr="002F4C38" w:rsidRDefault="006F23C6" w:rsidP="006F23C6">
            <w:pPr>
              <w:pStyle w:val="CAPS"/>
              <w:rPr>
                <w:rFonts w:ascii="Arial" w:hAnsi="Arial" w:cs="Arial"/>
                <w:sz w:val="24"/>
                <w:szCs w:val="24"/>
                <w:lang w:val="fr-FR"/>
              </w:rPr>
            </w:pPr>
            <w:r w:rsidRPr="002F4C38">
              <w:rPr>
                <w:rFonts w:ascii="Arial" w:hAnsi="Arial" w:cs="Arial"/>
                <w:sz w:val="24"/>
                <w:szCs w:val="24"/>
                <w:lang w:val="fr-FR"/>
              </w:rPr>
              <w:t xml:space="preserve">19/00867/FUL - Replacement of communal entrance </w:t>
            </w:r>
            <w:proofErr w:type="spellStart"/>
            <w:r w:rsidRPr="002F4C38">
              <w:rPr>
                <w:rFonts w:ascii="Arial" w:hAnsi="Arial" w:cs="Arial"/>
                <w:sz w:val="24"/>
                <w:szCs w:val="24"/>
                <w:lang w:val="fr-FR"/>
              </w:rPr>
              <w:t>doors</w:t>
            </w:r>
            <w:proofErr w:type="spellEnd"/>
            <w:r w:rsidRPr="002F4C38">
              <w:rPr>
                <w:rFonts w:ascii="Arial" w:hAnsi="Arial" w:cs="Arial"/>
                <w:sz w:val="24"/>
                <w:szCs w:val="24"/>
                <w:lang w:val="fr-FR"/>
              </w:rPr>
              <w:t xml:space="preserve"> and insertion of 1no. communal </w:t>
            </w:r>
            <w:proofErr w:type="spellStart"/>
            <w:r w:rsidRPr="002F4C38">
              <w:rPr>
                <w:rFonts w:ascii="Arial" w:hAnsi="Arial" w:cs="Arial"/>
                <w:sz w:val="24"/>
                <w:szCs w:val="24"/>
                <w:lang w:val="fr-FR"/>
              </w:rPr>
              <w:t>door</w:t>
            </w:r>
            <w:proofErr w:type="spellEnd"/>
            <w:proofErr w:type="gramStart"/>
            <w:r w:rsidRPr="002F4C38">
              <w:rPr>
                <w:rFonts w:ascii="Arial" w:hAnsi="Arial" w:cs="Arial"/>
                <w:sz w:val="24"/>
                <w:szCs w:val="24"/>
                <w:lang w:val="fr-FR"/>
              </w:rPr>
              <w:t>..</w:t>
            </w:r>
            <w:proofErr w:type="gramEnd"/>
            <w:r w:rsidRPr="002F4C38">
              <w:rPr>
                <w:rFonts w:ascii="Arial" w:hAnsi="Arial" w:cs="Arial"/>
                <w:sz w:val="24"/>
                <w:szCs w:val="24"/>
                <w:lang w:val="fr-FR"/>
              </w:rPr>
              <w:t xml:space="preserve"> </w:t>
            </w:r>
            <w:proofErr w:type="gramStart"/>
            <w:r w:rsidRPr="002F4C38">
              <w:rPr>
                <w:rFonts w:ascii="Arial" w:hAnsi="Arial" w:cs="Arial"/>
                <w:sz w:val="24"/>
                <w:szCs w:val="24"/>
                <w:lang w:val="fr-FR"/>
              </w:rPr>
              <w:t>PDE .</w:t>
            </w:r>
            <w:proofErr w:type="gramEnd"/>
          </w:p>
          <w:p w:rsidR="006F23C6" w:rsidRPr="002F4C38" w:rsidRDefault="006F23C6" w:rsidP="006F23C6">
            <w:pPr>
              <w:pStyle w:val="CAPS"/>
              <w:rPr>
                <w:rFonts w:ascii="Arial" w:hAnsi="Arial" w:cs="Arial"/>
                <w:sz w:val="24"/>
                <w:szCs w:val="24"/>
                <w:lang w:val="fr-FR"/>
              </w:rPr>
            </w:pPr>
          </w:p>
          <w:p w:rsidR="006F23C6" w:rsidRPr="002F4C38" w:rsidRDefault="006F23C6" w:rsidP="005C4ED6">
            <w:pPr>
              <w:jc w:val="both"/>
              <w:rPr>
                <w:b/>
                <w:bCs/>
                <w:lang w:val="fr-FR"/>
              </w:rPr>
            </w:pPr>
          </w:p>
        </w:tc>
      </w:tr>
    </w:tbl>
    <w:p w:rsidR="008E0CD8" w:rsidRPr="003B278C" w:rsidRDefault="008E0CD8" w:rsidP="003B278C"/>
    <w:p w:rsidR="000336A6" w:rsidRDefault="00F911C9" w:rsidP="00D34CE3">
      <w:pPr>
        <w:pStyle w:val="HEADINGA"/>
      </w:pPr>
      <w:r>
        <w:t>RELEVANT PLANNING POLICY</w:t>
      </w:r>
    </w:p>
    <w:p w:rsidR="00F911C9" w:rsidRPr="00F911C9" w:rsidRDefault="00F911C9" w:rsidP="00D34CE3">
      <w:pPr>
        <w:pStyle w:val="PARAGRAPHA"/>
        <w:rPr>
          <w:b/>
        </w:rPr>
      </w:pPr>
      <w:r>
        <w:t>The following policies are relevant to the application:</w:t>
      </w:r>
    </w:p>
    <w:tbl>
      <w:tblPr>
        <w:tblW w:w="95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3"/>
        <w:gridCol w:w="1339"/>
        <w:gridCol w:w="1339"/>
        <w:gridCol w:w="1340"/>
        <w:gridCol w:w="1339"/>
        <w:gridCol w:w="1173"/>
        <w:gridCol w:w="1506"/>
      </w:tblGrid>
      <w:tr w:rsidR="007E1065" w:rsidRPr="007E1065" w:rsidTr="004A410D">
        <w:trPr>
          <w:trHeight w:val="614"/>
          <w:jc w:val="center"/>
        </w:trPr>
        <w:tc>
          <w:tcPr>
            <w:tcW w:w="1553" w:type="dxa"/>
            <w:shd w:val="clear" w:color="auto" w:fill="548DD4"/>
          </w:tcPr>
          <w:p w:rsidR="007E1065" w:rsidRPr="007E1065" w:rsidRDefault="007E1065" w:rsidP="003B278C">
            <w:pPr>
              <w:rPr>
                <w:b/>
                <w:color w:val="FFFFFF"/>
                <w:sz w:val="20"/>
                <w:szCs w:val="20"/>
              </w:rPr>
            </w:pPr>
            <w:r w:rsidRPr="007E1065">
              <w:rPr>
                <w:b/>
                <w:color w:val="FFFFFF"/>
                <w:sz w:val="20"/>
                <w:szCs w:val="20"/>
              </w:rPr>
              <w:t>Topic</w:t>
            </w:r>
          </w:p>
        </w:tc>
        <w:tc>
          <w:tcPr>
            <w:tcW w:w="1339" w:type="dxa"/>
            <w:shd w:val="clear" w:color="auto" w:fill="548DD4"/>
            <w:hideMark/>
          </w:tcPr>
          <w:p w:rsidR="007E1065" w:rsidRPr="00314022" w:rsidRDefault="007E1065" w:rsidP="003B278C">
            <w:pPr>
              <w:rPr>
                <w:b/>
                <w:bCs/>
                <w:color w:val="FFFFFF"/>
                <w:sz w:val="20"/>
                <w:szCs w:val="20"/>
              </w:rPr>
            </w:pPr>
            <w:r w:rsidRPr="00314022">
              <w:rPr>
                <w:b/>
                <w:color w:val="FFFFFF"/>
                <w:sz w:val="20"/>
                <w:szCs w:val="20"/>
              </w:rPr>
              <w:t>National Planning Policy Framework</w:t>
            </w:r>
          </w:p>
        </w:tc>
        <w:tc>
          <w:tcPr>
            <w:tcW w:w="1339" w:type="dxa"/>
            <w:shd w:val="clear" w:color="auto" w:fill="548DD4"/>
            <w:hideMark/>
          </w:tcPr>
          <w:p w:rsidR="007E1065" w:rsidRPr="007E1065" w:rsidRDefault="007E1065" w:rsidP="003B278C">
            <w:pPr>
              <w:rPr>
                <w:b/>
                <w:bCs/>
                <w:color w:val="FFFFFF"/>
                <w:sz w:val="20"/>
                <w:szCs w:val="20"/>
              </w:rPr>
            </w:pPr>
            <w:r w:rsidRPr="007E1065">
              <w:rPr>
                <w:b/>
                <w:color w:val="FFFFFF"/>
                <w:sz w:val="20"/>
                <w:szCs w:val="20"/>
              </w:rPr>
              <w:t>Local Plan</w:t>
            </w:r>
          </w:p>
        </w:tc>
        <w:tc>
          <w:tcPr>
            <w:tcW w:w="1340" w:type="dxa"/>
            <w:shd w:val="clear" w:color="auto" w:fill="548DD4"/>
          </w:tcPr>
          <w:p w:rsidR="007E1065" w:rsidRPr="007E1065" w:rsidRDefault="007E1065" w:rsidP="003B278C">
            <w:pPr>
              <w:rPr>
                <w:b/>
                <w:color w:val="FFFFFF"/>
                <w:sz w:val="20"/>
                <w:szCs w:val="20"/>
              </w:rPr>
            </w:pPr>
            <w:r w:rsidRPr="007E1065">
              <w:rPr>
                <w:b/>
                <w:color w:val="FFFFFF"/>
                <w:sz w:val="20"/>
                <w:szCs w:val="20"/>
              </w:rPr>
              <w:t>Core Strategy</w:t>
            </w:r>
          </w:p>
        </w:tc>
        <w:tc>
          <w:tcPr>
            <w:tcW w:w="1339" w:type="dxa"/>
            <w:shd w:val="clear" w:color="auto" w:fill="548DD4"/>
          </w:tcPr>
          <w:p w:rsidR="007E1065" w:rsidRPr="007E1065" w:rsidRDefault="007E1065" w:rsidP="003B278C">
            <w:pPr>
              <w:rPr>
                <w:b/>
                <w:color w:val="FFFFFF"/>
                <w:sz w:val="20"/>
                <w:szCs w:val="20"/>
              </w:rPr>
            </w:pPr>
            <w:r w:rsidRPr="007E1065">
              <w:rPr>
                <w:b/>
                <w:color w:val="FFFFFF"/>
                <w:sz w:val="20"/>
                <w:szCs w:val="20"/>
              </w:rPr>
              <w:t>Sites and Housing Plan</w:t>
            </w:r>
          </w:p>
        </w:tc>
        <w:tc>
          <w:tcPr>
            <w:tcW w:w="1173" w:type="dxa"/>
            <w:shd w:val="clear" w:color="auto" w:fill="548DD4"/>
          </w:tcPr>
          <w:p w:rsidR="007E1065" w:rsidRPr="007E1065" w:rsidRDefault="007E1065" w:rsidP="003B278C">
            <w:pPr>
              <w:rPr>
                <w:b/>
                <w:color w:val="FFFFFF"/>
                <w:sz w:val="20"/>
                <w:szCs w:val="20"/>
              </w:rPr>
            </w:pPr>
            <w:r w:rsidRPr="007E1065">
              <w:rPr>
                <w:b/>
                <w:color w:val="FFFFFF"/>
                <w:sz w:val="20"/>
                <w:szCs w:val="20"/>
              </w:rPr>
              <w:t>Other planning documents</w:t>
            </w:r>
          </w:p>
        </w:tc>
        <w:tc>
          <w:tcPr>
            <w:tcW w:w="1506" w:type="dxa"/>
            <w:shd w:val="clear" w:color="auto" w:fill="548DD4"/>
          </w:tcPr>
          <w:p w:rsidR="007E1065" w:rsidRDefault="004C2C8A" w:rsidP="003B278C">
            <w:pPr>
              <w:rPr>
                <w:b/>
                <w:color w:val="FFFFFF"/>
                <w:sz w:val="20"/>
                <w:szCs w:val="20"/>
              </w:rPr>
            </w:pPr>
            <w:r>
              <w:rPr>
                <w:b/>
                <w:color w:val="FFFFFF"/>
                <w:sz w:val="20"/>
                <w:szCs w:val="20"/>
              </w:rPr>
              <w:t>Neighbourhood Plans</w:t>
            </w:r>
            <w:r w:rsidR="001E37A6">
              <w:rPr>
                <w:b/>
                <w:color w:val="FFFFFF"/>
                <w:sz w:val="20"/>
                <w:szCs w:val="20"/>
              </w:rPr>
              <w:t>:</w:t>
            </w:r>
          </w:p>
          <w:p w:rsidR="001E37A6" w:rsidRPr="007E1065" w:rsidRDefault="001E37A6" w:rsidP="001E37A6">
            <w:pPr>
              <w:rPr>
                <w:b/>
                <w:color w:val="FFFFFF"/>
                <w:sz w:val="20"/>
                <w:szCs w:val="20"/>
              </w:rPr>
            </w:pPr>
          </w:p>
        </w:tc>
      </w:tr>
      <w:tr w:rsidR="007E1065" w:rsidRPr="007E1065" w:rsidTr="004A410D">
        <w:trPr>
          <w:trHeight w:val="964"/>
          <w:jc w:val="center"/>
        </w:trPr>
        <w:tc>
          <w:tcPr>
            <w:tcW w:w="1553" w:type="dxa"/>
            <w:shd w:val="clear" w:color="auto" w:fill="548DD4"/>
          </w:tcPr>
          <w:p w:rsidR="007E1065" w:rsidRPr="007E1065" w:rsidRDefault="007E1065" w:rsidP="003B278C">
            <w:pPr>
              <w:rPr>
                <w:b/>
                <w:color w:val="FFFFFF"/>
                <w:sz w:val="20"/>
                <w:szCs w:val="20"/>
              </w:rPr>
            </w:pPr>
            <w:r w:rsidRPr="007E1065">
              <w:rPr>
                <w:b/>
                <w:color w:val="FFFFFF"/>
                <w:sz w:val="20"/>
                <w:szCs w:val="20"/>
              </w:rPr>
              <w:t>Design</w:t>
            </w:r>
          </w:p>
        </w:tc>
        <w:tc>
          <w:tcPr>
            <w:tcW w:w="1339" w:type="dxa"/>
          </w:tcPr>
          <w:p w:rsidR="007E1065" w:rsidRPr="00314022" w:rsidRDefault="00314022" w:rsidP="003A7C49">
            <w:pPr>
              <w:jc w:val="both"/>
              <w:rPr>
                <w:bCs/>
                <w:sz w:val="20"/>
                <w:szCs w:val="20"/>
              </w:rPr>
            </w:pPr>
            <w:r>
              <w:rPr>
                <w:bCs/>
                <w:sz w:val="20"/>
                <w:szCs w:val="20"/>
              </w:rPr>
              <w:t>8, 11, 129, 128, 130</w:t>
            </w:r>
          </w:p>
        </w:tc>
        <w:tc>
          <w:tcPr>
            <w:tcW w:w="1339" w:type="dxa"/>
          </w:tcPr>
          <w:p w:rsidR="007E1065" w:rsidRPr="007E1065" w:rsidRDefault="00314022" w:rsidP="003A7C49">
            <w:pPr>
              <w:jc w:val="both"/>
              <w:rPr>
                <w:bCs/>
                <w:iCs/>
                <w:sz w:val="20"/>
                <w:szCs w:val="20"/>
              </w:rPr>
            </w:pPr>
            <w:r>
              <w:rPr>
                <w:bCs/>
                <w:iCs/>
                <w:sz w:val="20"/>
                <w:szCs w:val="20"/>
              </w:rPr>
              <w:t>CP1, CP6, CP8, CP10</w:t>
            </w:r>
          </w:p>
        </w:tc>
        <w:tc>
          <w:tcPr>
            <w:tcW w:w="1340" w:type="dxa"/>
          </w:tcPr>
          <w:p w:rsidR="007E1065" w:rsidRPr="007E1065" w:rsidRDefault="00314022" w:rsidP="003A7C49">
            <w:pPr>
              <w:jc w:val="both"/>
              <w:rPr>
                <w:bCs/>
                <w:iCs/>
                <w:sz w:val="20"/>
                <w:szCs w:val="20"/>
              </w:rPr>
            </w:pPr>
            <w:r>
              <w:rPr>
                <w:bCs/>
                <w:iCs/>
                <w:sz w:val="20"/>
                <w:szCs w:val="20"/>
              </w:rPr>
              <w:t>CS18</w:t>
            </w:r>
          </w:p>
        </w:tc>
        <w:tc>
          <w:tcPr>
            <w:tcW w:w="1339" w:type="dxa"/>
          </w:tcPr>
          <w:p w:rsidR="007E1065" w:rsidRPr="007E1065" w:rsidRDefault="00314022" w:rsidP="003A7C49">
            <w:pPr>
              <w:jc w:val="both"/>
              <w:rPr>
                <w:bCs/>
                <w:iCs/>
                <w:sz w:val="20"/>
                <w:szCs w:val="20"/>
              </w:rPr>
            </w:pPr>
            <w:r>
              <w:rPr>
                <w:bCs/>
                <w:iCs/>
                <w:sz w:val="20"/>
                <w:szCs w:val="20"/>
              </w:rPr>
              <w:t>HP9, HP14</w:t>
            </w:r>
          </w:p>
        </w:tc>
        <w:tc>
          <w:tcPr>
            <w:tcW w:w="1173" w:type="dxa"/>
          </w:tcPr>
          <w:p w:rsidR="007E1065" w:rsidRPr="007E1065" w:rsidRDefault="007E1065" w:rsidP="003A7C49">
            <w:pPr>
              <w:jc w:val="both"/>
              <w:rPr>
                <w:bCs/>
                <w:iCs/>
                <w:sz w:val="20"/>
                <w:szCs w:val="20"/>
              </w:rPr>
            </w:pPr>
          </w:p>
        </w:tc>
        <w:tc>
          <w:tcPr>
            <w:tcW w:w="1506" w:type="dxa"/>
          </w:tcPr>
          <w:p w:rsidR="007E1065" w:rsidRPr="007E1065" w:rsidRDefault="000F5F1B" w:rsidP="000F5F1B">
            <w:pPr>
              <w:jc w:val="both"/>
              <w:rPr>
                <w:bCs/>
                <w:iCs/>
                <w:sz w:val="20"/>
                <w:szCs w:val="20"/>
              </w:rPr>
            </w:pPr>
            <w:r w:rsidRPr="007E1065">
              <w:rPr>
                <w:bCs/>
                <w:iCs/>
                <w:sz w:val="20"/>
                <w:szCs w:val="20"/>
              </w:rPr>
              <w:t xml:space="preserve"> </w:t>
            </w:r>
          </w:p>
        </w:tc>
      </w:tr>
      <w:tr w:rsidR="007E1065" w:rsidRPr="007E1065" w:rsidTr="004A410D">
        <w:trPr>
          <w:trHeight w:val="643"/>
          <w:jc w:val="center"/>
        </w:trPr>
        <w:tc>
          <w:tcPr>
            <w:tcW w:w="1553" w:type="dxa"/>
            <w:shd w:val="clear" w:color="auto" w:fill="548DD4"/>
          </w:tcPr>
          <w:p w:rsidR="007E1065" w:rsidRPr="007E1065" w:rsidRDefault="007E1065" w:rsidP="003B278C">
            <w:pPr>
              <w:rPr>
                <w:b/>
                <w:color w:val="FFFFFF"/>
                <w:sz w:val="20"/>
                <w:szCs w:val="20"/>
              </w:rPr>
            </w:pPr>
            <w:r w:rsidRPr="007E1065">
              <w:rPr>
                <w:b/>
                <w:color w:val="FFFFFF"/>
                <w:sz w:val="20"/>
                <w:szCs w:val="20"/>
              </w:rPr>
              <w:t>Miscellaneous</w:t>
            </w:r>
          </w:p>
        </w:tc>
        <w:tc>
          <w:tcPr>
            <w:tcW w:w="1339" w:type="dxa"/>
            <w:shd w:val="clear" w:color="auto" w:fill="D3DFEE"/>
          </w:tcPr>
          <w:p w:rsidR="007E1065" w:rsidRPr="00314022" w:rsidRDefault="00314022" w:rsidP="003A7C49">
            <w:pPr>
              <w:jc w:val="both"/>
              <w:rPr>
                <w:bCs/>
                <w:sz w:val="20"/>
                <w:szCs w:val="20"/>
              </w:rPr>
            </w:pPr>
            <w:r>
              <w:rPr>
                <w:bCs/>
                <w:sz w:val="20"/>
                <w:szCs w:val="20"/>
              </w:rPr>
              <w:t>47, 48</w:t>
            </w:r>
          </w:p>
        </w:tc>
        <w:tc>
          <w:tcPr>
            <w:tcW w:w="1339" w:type="dxa"/>
            <w:shd w:val="clear" w:color="auto" w:fill="D3DFEE"/>
          </w:tcPr>
          <w:p w:rsidR="007E1065" w:rsidRPr="007E1065" w:rsidRDefault="007E1065" w:rsidP="00DF33C4">
            <w:pPr>
              <w:jc w:val="both"/>
              <w:rPr>
                <w:bCs/>
                <w:iCs/>
                <w:sz w:val="20"/>
                <w:szCs w:val="20"/>
              </w:rPr>
            </w:pPr>
            <w:r w:rsidRPr="007E1065">
              <w:rPr>
                <w:bCs/>
                <w:iCs/>
                <w:sz w:val="20"/>
                <w:szCs w:val="20"/>
              </w:rPr>
              <w:t xml:space="preserve"> CP.13</w:t>
            </w:r>
          </w:p>
          <w:p w:rsidR="007E1065" w:rsidRPr="007E1065" w:rsidRDefault="007E1065" w:rsidP="00DF33C4">
            <w:pPr>
              <w:jc w:val="both"/>
              <w:rPr>
                <w:bCs/>
                <w:iCs/>
                <w:sz w:val="20"/>
                <w:szCs w:val="20"/>
              </w:rPr>
            </w:pPr>
            <w:r w:rsidRPr="007E1065">
              <w:rPr>
                <w:bCs/>
                <w:iCs/>
                <w:sz w:val="20"/>
                <w:szCs w:val="20"/>
              </w:rPr>
              <w:t xml:space="preserve"> CP.24</w:t>
            </w:r>
          </w:p>
          <w:p w:rsidR="007E1065" w:rsidRPr="007E1065" w:rsidRDefault="007E1065" w:rsidP="00DF33C4">
            <w:pPr>
              <w:jc w:val="both"/>
              <w:rPr>
                <w:bCs/>
                <w:iCs/>
                <w:sz w:val="20"/>
                <w:szCs w:val="20"/>
              </w:rPr>
            </w:pPr>
            <w:r w:rsidRPr="007E1065">
              <w:rPr>
                <w:bCs/>
                <w:iCs/>
                <w:sz w:val="20"/>
                <w:szCs w:val="20"/>
              </w:rPr>
              <w:t xml:space="preserve"> CP.25</w:t>
            </w:r>
          </w:p>
        </w:tc>
        <w:tc>
          <w:tcPr>
            <w:tcW w:w="1340" w:type="dxa"/>
            <w:shd w:val="clear" w:color="auto" w:fill="D3DFEE"/>
          </w:tcPr>
          <w:p w:rsidR="007E1065" w:rsidRPr="007E1065" w:rsidRDefault="007E1065" w:rsidP="003A7C49">
            <w:pPr>
              <w:jc w:val="both"/>
              <w:rPr>
                <w:bCs/>
                <w:iCs/>
                <w:sz w:val="20"/>
                <w:szCs w:val="20"/>
              </w:rPr>
            </w:pPr>
          </w:p>
        </w:tc>
        <w:tc>
          <w:tcPr>
            <w:tcW w:w="1339" w:type="dxa"/>
            <w:shd w:val="clear" w:color="auto" w:fill="D3DFEE"/>
          </w:tcPr>
          <w:p w:rsidR="007E1065" w:rsidRPr="007E1065" w:rsidRDefault="007E1065" w:rsidP="003A7C49">
            <w:pPr>
              <w:jc w:val="both"/>
              <w:rPr>
                <w:bCs/>
                <w:iCs/>
                <w:sz w:val="20"/>
                <w:szCs w:val="20"/>
              </w:rPr>
            </w:pPr>
            <w:r w:rsidRPr="007E1065">
              <w:rPr>
                <w:bCs/>
                <w:iCs/>
                <w:sz w:val="20"/>
                <w:szCs w:val="20"/>
              </w:rPr>
              <w:t>MP1</w:t>
            </w:r>
          </w:p>
        </w:tc>
        <w:tc>
          <w:tcPr>
            <w:tcW w:w="1173" w:type="dxa"/>
            <w:shd w:val="clear" w:color="auto" w:fill="D3DFEE"/>
          </w:tcPr>
          <w:p w:rsidR="007E1065" w:rsidRPr="007E1065" w:rsidRDefault="007E1065" w:rsidP="003A7C49">
            <w:pPr>
              <w:jc w:val="both"/>
              <w:rPr>
                <w:bCs/>
                <w:iCs/>
                <w:sz w:val="20"/>
                <w:szCs w:val="20"/>
              </w:rPr>
            </w:pPr>
            <w:r w:rsidRPr="007E1065">
              <w:rPr>
                <w:bCs/>
                <w:iCs/>
                <w:sz w:val="20"/>
                <w:szCs w:val="20"/>
              </w:rPr>
              <w:t>Insulation TAN,</w:t>
            </w:r>
          </w:p>
        </w:tc>
        <w:tc>
          <w:tcPr>
            <w:tcW w:w="1506" w:type="dxa"/>
            <w:shd w:val="clear" w:color="auto" w:fill="D3DFEE"/>
          </w:tcPr>
          <w:p w:rsidR="007E1065" w:rsidRPr="007E1065" w:rsidRDefault="007E1065" w:rsidP="003A7C49">
            <w:pPr>
              <w:jc w:val="both"/>
              <w:rPr>
                <w:bCs/>
                <w:iCs/>
                <w:sz w:val="20"/>
                <w:szCs w:val="20"/>
              </w:rPr>
            </w:pPr>
          </w:p>
        </w:tc>
      </w:tr>
    </w:tbl>
    <w:p w:rsidR="006572A4" w:rsidRDefault="00106DC0" w:rsidP="00D34CE3">
      <w:pPr>
        <w:pStyle w:val="HEADINGA"/>
      </w:pPr>
      <w:r>
        <w:lastRenderedPageBreak/>
        <w:t>CONSULTATION RESPONSES</w:t>
      </w:r>
    </w:p>
    <w:p w:rsidR="00106DC0" w:rsidRPr="00106DC0" w:rsidRDefault="00106DC0" w:rsidP="004A410D">
      <w:pPr>
        <w:pStyle w:val="PARAGRAPHA"/>
        <w:ind w:left="709" w:hanging="709"/>
      </w:pPr>
      <w:r w:rsidRPr="00106DC0">
        <w:t xml:space="preserve">Site notices were displayed around the application site on </w:t>
      </w:r>
      <w:r w:rsidR="00FF573C">
        <w:t>16th April 2019</w:t>
      </w:r>
      <w:r w:rsidRPr="00106DC0">
        <w:t>.</w:t>
      </w:r>
    </w:p>
    <w:p w:rsidR="006572A4" w:rsidRPr="00880933" w:rsidRDefault="006572A4" w:rsidP="00880933">
      <w:pPr>
        <w:pStyle w:val="HEADINGB"/>
      </w:pPr>
      <w:r w:rsidRPr="00880933">
        <w:t>Statutory</w:t>
      </w:r>
      <w:r w:rsidR="00106DC0" w:rsidRPr="00880933">
        <w:t xml:space="preserve"> and </w:t>
      </w:r>
      <w:r w:rsidR="00880933" w:rsidRPr="00880933">
        <w:t>n</w:t>
      </w:r>
      <w:r w:rsidR="00106DC0" w:rsidRPr="00880933">
        <w:t>on</w:t>
      </w:r>
      <w:r w:rsidR="00880933" w:rsidRPr="00880933">
        <w:t>-s</w:t>
      </w:r>
      <w:r w:rsidR="00106DC0" w:rsidRPr="00880933">
        <w:t>tatutory</w:t>
      </w:r>
      <w:r w:rsidRPr="00880933">
        <w:t xml:space="preserve"> </w:t>
      </w:r>
      <w:r w:rsidR="00880933" w:rsidRPr="00880933">
        <w:t>c</w:t>
      </w:r>
      <w:r w:rsidRPr="00880933">
        <w:t>onsultees</w:t>
      </w:r>
    </w:p>
    <w:p w:rsidR="007872A5" w:rsidRPr="00DF6366" w:rsidRDefault="00071FE2" w:rsidP="004A410D">
      <w:pPr>
        <w:pStyle w:val="PARAGRAPHA"/>
        <w:ind w:left="709" w:hanging="709"/>
        <w:rPr>
          <w:u w:val="single"/>
        </w:rPr>
      </w:pPr>
      <w:r>
        <w:t xml:space="preserve"> No representation was received</w:t>
      </w:r>
    </w:p>
    <w:p w:rsidR="006572A4" w:rsidRPr="00DF6366" w:rsidRDefault="004A410D" w:rsidP="00C4387F">
      <w:pPr>
        <w:pStyle w:val="HEADINGB"/>
      </w:pPr>
      <w:r>
        <w:t xml:space="preserve"> </w:t>
      </w:r>
      <w:r w:rsidR="00A700F7" w:rsidRPr="00DF6366">
        <w:t>Public representations</w:t>
      </w:r>
    </w:p>
    <w:p w:rsidR="00C4387F" w:rsidRDefault="00071FE2" w:rsidP="004A410D">
      <w:pPr>
        <w:pStyle w:val="PARAGRAPHA"/>
        <w:ind w:left="709" w:hanging="709"/>
      </w:pPr>
      <w:r>
        <w:t xml:space="preserve"> No</w:t>
      </w:r>
      <w:r w:rsidR="00A700F7">
        <w:t xml:space="preserve"> local people </w:t>
      </w:r>
      <w:r w:rsidR="00A821B7">
        <w:t>commented on</w:t>
      </w:r>
      <w:r>
        <w:t xml:space="preserve"> this application.</w:t>
      </w:r>
    </w:p>
    <w:p w:rsidR="009A0527" w:rsidRPr="00C4387F" w:rsidRDefault="009A0527" w:rsidP="009A0527">
      <w:pPr>
        <w:pStyle w:val="PARAGRAPHA"/>
        <w:numPr>
          <w:ilvl w:val="0"/>
          <w:numId w:val="0"/>
        </w:numPr>
        <w:ind w:left="709"/>
      </w:pPr>
      <w:r>
        <w:t>The consultation period for this application expires at midnight on 9</w:t>
      </w:r>
      <w:r w:rsidRPr="009A0527">
        <w:rPr>
          <w:vertAlign w:val="superscript"/>
        </w:rPr>
        <w:t>th</w:t>
      </w:r>
      <w:r>
        <w:t xml:space="preserve"> May. As this is after the committee date the recommendation to the committee is that planning permission is granted subject to no public comments having been received by the end of the consultation period that raise matters that have not been considered in this report.</w:t>
      </w:r>
    </w:p>
    <w:p w:rsidR="007872A5" w:rsidRDefault="00A80ADA" w:rsidP="00D34CE3">
      <w:pPr>
        <w:pStyle w:val="HEADINGA"/>
      </w:pPr>
      <w:r>
        <w:t>PLANNING MATERIAL CONSIDERATIONS</w:t>
      </w:r>
    </w:p>
    <w:p w:rsidR="001866CA" w:rsidRDefault="001866CA" w:rsidP="004A410D">
      <w:pPr>
        <w:pStyle w:val="PARAGRAPHA"/>
        <w:ind w:left="709" w:hanging="709"/>
      </w:pPr>
      <w:r>
        <w:t>Officers consider the determining issues to be:</w:t>
      </w:r>
    </w:p>
    <w:p w:rsidR="001866CA" w:rsidRPr="006E554D" w:rsidRDefault="006E554D" w:rsidP="004A410D">
      <w:pPr>
        <w:pStyle w:val="BULLETS"/>
        <w:numPr>
          <w:ilvl w:val="0"/>
          <w:numId w:val="6"/>
        </w:numPr>
      </w:pPr>
      <w:r w:rsidRPr="006E554D">
        <w:t>Design</w:t>
      </w:r>
    </w:p>
    <w:p w:rsidR="006E554D" w:rsidRPr="006E554D" w:rsidRDefault="006E554D" w:rsidP="004A410D">
      <w:pPr>
        <w:pStyle w:val="BULLETS"/>
        <w:numPr>
          <w:ilvl w:val="0"/>
          <w:numId w:val="6"/>
        </w:numPr>
      </w:pPr>
      <w:r w:rsidRPr="006E554D">
        <w:t>Neighbouring amenity</w:t>
      </w:r>
    </w:p>
    <w:p w:rsidR="003048BE" w:rsidRPr="003048BE" w:rsidRDefault="003048BE" w:rsidP="003048BE"/>
    <w:p w:rsidR="005B5EC7" w:rsidRPr="00A05BA2" w:rsidRDefault="003048BE" w:rsidP="004A410D">
      <w:pPr>
        <w:pStyle w:val="CONSIDERATIONSHEADINGS"/>
        <w:numPr>
          <w:ilvl w:val="0"/>
          <w:numId w:val="7"/>
        </w:numPr>
        <w:rPr>
          <w:iCs/>
        </w:rPr>
      </w:pPr>
      <w:r>
        <w:t>Design</w:t>
      </w:r>
    </w:p>
    <w:p w:rsidR="00876E0A" w:rsidRDefault="00071FE2" w:rsidP="004A410D">
      <w:pPr>
        <w:pStyle w:val="PARAGRAPHA"/>
        <w:ind w:left="709" w:hanging="709"/>
        <w:rPr>
          <w:iCs/>
        </w:rPr>
      </w:pPr>
      <w:r w:rsidRPr="00071FE2">
        <w:rPr>
          <w:iCs/>
        </w:rPr>
        <w:t>Policy CP1 of the Oxford Local Plan 2001-2016 states that a development must show a high standard of design, including landscape treatment, that respects the character and appearance of the area; and the materials used must be of a quality appropriate to the nature of the development, the site and its surroundings. CS18 of the Core Strategy states that planning permission will be granted for development that demonstrates high-quality urban design through responding appropriately to the site and its surroundings; creating a strong sense of place; and contributing to an attractive public realm. Policy HP9 of the Sites and Housing Plan states that planning permission will only be granted for residential development that responds to the overall character of the area, including its built and natural features.</w:t>
      </w:r>
    </w:p>
    <w:p w:rsidR="00071FE2" w:rsidRDefault="00FD7E69" w:rsidP="004A410D">
      <w:pPr>
        <w:pStyle w:val="PARAGRAPHA"/>
        <w:ind w:left="709" w:hanging="709"/>
        <w:rPr>
          <w:iCs/>
        </w:rPr>
      </w:pPr>
      <w:r>
        <w:rPr>
          <w:iCs/>
        </w:rPr>
        <w:t>The proposed alterations and additions would be unlikely to</w:t>
      </w:r>
      <w:r w:rsidR="00EB43CD">
        <w:rPr>
          <w:iCs/>
        </w:rPr>
        <w:t xml:space="preserve"> substantially</w:t>
      </w:r>
      <w:r>
        <w:rPr>
          <w:iCs/>
        </w:rPr>
        <w:t xml:space="preserve"> alter the</w:t>
      </w:r>
      <w:r w:rsidR="00EB43CD">
        <w:rPr>
          <w:iCs/>
        </w:rPr>
        <w:t xml:space="preserve"> visual</w:t>
      </w:r>
      <w:r>
        <w:rPr>
          <w:iCs/>
        </w:rPr>
        <w:t xml:space="preserve"> appearance of the building, as the changes to the doors would be subtle and the existing</w:t>
      </w:r>
      <w:r w:rsidR="00EB43CD">
        <w:rPr>
          <w:iCs/>
        </w:rPr>
        <w:t xml:space="preserve"> layout of the</w:t>
      </w:r>
      <w:r>
        <w:rPr>
          <w:iCs/>
        </w:rPr>
        <w:t xml:space="preserve"> fenestration</w:t>
      </w:r>
      <w:r w:rsidR="00EB43CD">
        <w:rPr>
          <w:iCs/>
        </w:rPr>
        <w:t xml:space="preserve"> </w:t>
      </w:r>
      <w:r>
        <w:rPr>
          <w:iCs/>
        </w:rPr>
        <w:t>would be unaltered, with the exception of one additional door</w:t>
      </w:r>
      <w:r w:rsidR="00EB43CD">
        <w:rPr>
          <w:iCs/>
        </w:rPr>
        <w:t xml:space="preserve"> being installed</w:t>
      </w:r>
      <w:r>
        <w:rPr>
          <w:iCs/>
        </w:rPr>
        <w:t xml:space="preserve">. The changes would therefore not unbalance or overwhelm any of the elevations. The materials of the door as well as the brown powder coated finish would also mean that the doors would be well integrated with the rest of the building by responding to its existing features. </w:t>
      </w:r>
    </w:p>
    <w:p w:rsidR="00470DD6" w:rsidRPr="00515927" w:rsidRDefault="00470DD6" w:rsidP="004A410D">
      <w:pPr>
        <w:pStyle w:val="PARAGRAPHA"/>
        <w:ind w:left="709" w:hanging="709"/>
        <w:rPr>
          <w:iCs/>
        </w:rPr>
      </w:pPr>
      <w:r>
        <w:rPr>
          <w:iCs/>
        </w:rPr>
        <w:t>It is therefore considered that the proposal would be of sufficient design quality so as to accord with Policies CP1, CS18 and HP9.</w:t>
      </w:r>
    </w:p>
    <w:p w:rsidR="00515927" w:rsidRDefault="00515927" w:rsidP="009A0527">
      <w:pPr>
        <w:pStyle w:val="CONSIDERATIONSHEADINGS"/>
        <w:numPr>
          <w:ilvl w:val="0"/>
          <w:numId w:val="7"/>
        </w:numPr>
      </w:pPr>
      <w:r>
        <w:lastRenderedPageBreak/>
        <w:t xml:space="preserve">Impact on </w:t>
      </w:r>
      <w:r w:rsidR="003048BE">
        <w:t>n</w:t>
      </w:r>
      <w:r>
        <w:t xml:space="preserve">eighbouring </w:t>
      </w:r>
      <w:r w:rsidR="003048BE">
        <w:t>a</w:t>
      </w:r>
      <w:r w:rsidR="00071FE2">
        <w:t>menity</w:t>
      </w:r>
    </w:p>
    <w:p w:rsidR="00071FE2" w:rsidRPr="00071FE2" w:rsidRDefault="00071FE2" w:rsidP="004A410D">
      <w:pPr>
        <w:pStyle w:val="PARAGRAPHA"/>
        <w:ind w:left="709" w:hanging="709"/>
        <w:rPr>
          <w:iCs/>
        </w:rPr>
      </w:pPr>
      <w:r w:rsidRPr="00071FE2">
        <w:rPr>
          <w:iCs/>
        </w:rPr>
        <w:t>Policy HP14 of the Sites and Housing Plan states that planning permission will not be granted for development that has an overbearing effect on existing homes, and will only be granted for new residential development that provides reasonable privacy and daylight for the occupants of both existing and new homes. Policy HP14 of the Sites and Housing Plan sets out guidelines for assessing development in terms of whether it will allow adequate sunlight and daylight to habitable rooms of the neighbouring dwellings.</w:t>
      </w:r>
    </w:p>
    <w:p w:rsidR="00071FE2" w:rsidRPr="00071FE2" w:rsidRDefault="00071FE2" w:rsidP="004A410D">
      <w:pPr>
        <w:pStyle w:val="PARAGRAPHA"/>
        <w:numPr>
          <w:ilvl w:val="0"/>
          <w:numId w:val="0"/>
        </w:numPr>
        <w:ind w:left="709"/>
        <w:rPr>
          <w:iCs/>
          <w:u w:val="single"/>
        </w:rPr>
      </w:pPr>
      <w:r w:rsidRPr="00071FE2">
        <w:rPr>
          <w:u w:val="single"/>
        </w:rPr>
        <w:t>Privacy</w:t>
      </w:r>
    </w:p>
    <w:p w:rsidR="00515927" w:rsidRPr="00515927" w:rsidRDefault="00EB43CD" w:rsidP="004A410D">
      <w:pPr>
        <w:pStyle w:val="PARAGRAPHA"/>
        <w:ind w:left="709" w:hanging="709"/>
        <w:rPr>
          <w:iCs/>
        </w:rPr>
      </w:pPr>
      <w:r>
        <w:rPr>
          <w:iCs/>
        </w:rPr>
        <w:t>The proposed doors would have a similar level of glazing to</w:t>
      </w:r>
      <w:r w:rsidR="00D26280">
        <w:rPr>
          <w:iCs/>
        </w:rPr>
        <w:t xml:space="preserve"> the existing doors, it is considered that the views afforded of flats and schools in the vicinity by residents when using the doors would not be materially worse than is possible under the existing arrangement.</w:t>
      </w:r>
    </w:p>
    <w:p w:rsidR="00515927" w:rsidRPr="00515927" w:rsidRDefault="00515927" w:rsidP="004A410D">
      <w:pPr>
        <w:pStyle w:val="HEADINGC"/>
        <w:ind w:left="709" w:firstLine="0"/>
      </w:pPr>
      <w:r>
        <w:t>Overbearing</w:t>
      </w:r>
    </w:p>
    <w:p w:rsidR="00515927" w:rsidRPr="00071FE2" w:rsidRDefault="00D26280" w:rsidP="004A410D">
      <w:pPr>
        <w:pStyle w:val="PARAGRAPHA"/>
        <w:ind w:left="709" w:hanging="709"/>
        <w:rPr>
          <w:iCs/>
        </w:rPr>
      </w:pPr>
      <w:r>
        <w:rPr>
          <w:iCs/>
        </w:rPr>
        <w:t>The proposed development would not result in any additional built mass which could constitute an overbearing presence on the residential areas and school surrounding the site.</w:t>
      </w:r>
    </w:p>
    <w:p w:rsidR="00071FE2" w:rsidRPr="00071FE2" w:rsidRDefault="00071FE2" w:rsidP="004A410D">
      <w:pPr>
        <w:pStyle w:val="PARAGRAPHA"/>
        <w:numPr>
          <w:ilvl w:val="0"/>
          <w:numId w:val="0"/>
        </w:numPr>
        <w:ind w:left="709"/>
        <w:rPr>
          <w:iCs/>
        </w:rPr>
      </w:pPr>
      <w:r>
        <w:rPr>
          <w:u w:val="single"/>
        </w:rPr>
        <w:t>Daylight</w:t>
      </w:r>
    </w:p>
    <w:p w:rsidR="00071FE2" w:rsidRPr="00515927" w:rsidRDefault="00D26280" w:rsidP="004A410D">
      <w:pPr>
        <w:pStyle w:val="PARAGRAPHA"/>
        <w:ind w:left="709" w:hanging="709"/>
        <w:rPr>
          <w:iCs/>
        </w:rPr>
      </w:pPr>
      <w:r>
        <w:t>The proposal is compliant with the 25/45 degree access to light test, outlined in Policy HP14. The proposal would thereby not result in a reduction of light to any of the domestic flats in Riverside Court or any of the flats surrounding the site.</w:t>
      </w:r>
    </w:p>
    <w:p w:rsidR="00F65F7D" w:rsidRDefault="00F65F7D" w:rsidP="004A410D">
      <w:pPr>
        <w:pStyle w:val="HEADINGA"/>
      </w:pPr>
      <w:r>
        <w:t>CONCLUSION</w:t>
      </w:r>
    </w:p>
    <w:p w:rsidR="00F65F7D" w:rsidRPr="003A7C49" w:rsidRDefault="00FD7E69" w:rsidP="004A410D">
      <w:pPr>
        <w:pStyle w:val="PARAGRAPHA"/>
        <w:ind w:left="709" w:hanging="709"/>
      </w:pPr>
      <w:r>
        <w:t>T</w:t>
      </w:r>
      <w:r w:rsidRPr="00FD7E69">
        <w:t xml:space="preserve">he proposed development would be acceptable </w:t>
      </w:r>
      <w:r>
        <w:t>having had regard to the design and</w:t>
      </w:r>
      <w:r w:rsidRPr="00FD7E69">
        <w:t xml:space="preserve"> the impact neighbouring amenity. The proposal is considered to comply with all relevant local and national planning policy inc</w:t>
      </w:r>
      <w:r>
        <w:t xml:space="preserve">luding Policies CP1, CP8 and CP10 </w:t>
      </w:r>
      <w:r w:rsidRPr="00FD7E69">
        <w:t>of the Oxf</w:t>
      </w:r>
      <w:r>
        <w:t>ord Local Plan 2001-2016, Policy</w:t>
      </w:r>
      <w:r w:rsidRPr="00FD7E69">
        <w:t xml:space="preserve"> CS18 of the Core Strat</w:t>
      </w:r>
      <w:r>
        <w:t xml:space="preserve">egy (2011), Policies HP9, HP14 </w:t>
      </w:r>
      <w:r w:rsidRPr="00FD7E69">
        <w:t>and MP1 of the Sites and Housing Plan (2013) and the NPPF.</w:t>
      </w:r>
    </w:p>
    <w:p w:rsidR="00F65F7D" w:rsidRDefault="00F65F7D" w:rsidP="004A410D">
      <w:pPr>
        <w:pStyle w:val="PARAGRAPHA"/>
        <w:ind w:left="709" w:hanging="709"/>
      </w:pPr>
      <w:r w:rsidRPr="00F65F7D">
        <w:t>It is recommended that the Committee resolve to grant</w:t>
      </w:r>
      <w:r w:rsidR="009A0527">
        <w:t xml:space="preserve"> planning permission</w:t>
      </w:r>
      <w:r w:rsidR="004A410D">
        <w:t xml:space="preserve"> </w:t>
      </w:r>
      <w:r w:rsidR="009A0527" w:rsidRPr="00D34CE3">
        <w:t xml:space="preserve">for </w:t>
      </w:r>
      <w:r w:rsidR="009A0527">
        <w:t xml:space="preserve">the reasons given in the report </w:t>
      </w:r>
      <w:r w:rsidR="009A0527" w:rsidRPr="00D34CE3">
        <w:t xml:space="preserve">subject to </w:t>
      </w:r>
      <w:r w:rsidR="009A0527">
        <w:t xml:space="preserve">no additional public comments being received that raise objections relating to matters that have not already been considered and subject to </w:t>
      </w:r>
      <w:r w:rsidR="009A0527" w:rsidRPr="00D34CE3">
        <w:t xml:space="preserve">planning conditions set out in section 12 of this report </w:t>
      </w:r>
      <w:r w:rsidR="009A0527">
        <w:t>below.</w:t>
      </w:r>
    </w:p>
    <w:p w:rsidR="0094788B" w:rsidRPr="00281E96" w:rsidRDefault="00F65F7D" w:rsidP="00D34CE3">
      <w:pPr>
        <w:pStyle w:val="HEADINGA"/>
      </w:pPr>
      <w:r w:rsidRPr="00281E96">
        <w:t>CONDITIONS</w:t>
      </w:r>
    </w:p>
    <w:p w:rsidR="00470DD6" w:rsidRDefault="00470DD6" w:rsidP="00470DD6">
      <w:pPr>
        <w:widowControl w:val="0"/>
        <w:ind w:left="720" w:hanging="720"/>
      </w:pPr>
      <w:r>
        <w:t xml:space="preserve">1 </w:t>
      </w:r>
      <w:r>
        <w:tab/>
        <w:t>The development to which this permission relates must be begun not later than the expiration of three years from the date of this permission.</w:t>
      </w:r>
    </w:p>
    <w:p w:rsidR="00470DD6" w:rsidRDefault="00470DD6" w:rsidP="00470DD6">
      <w:pPr>
        <w:widowControl w:val="0"/>
        <w:ind w:left="720" w:hanging="720"/>
      </w:pPr>
    </w:p>
    <w:p w:rsidR="00470DD6" w:rsidRDefault="00470DD6" w:rsidP="00470DD6">
      <w:pPr>
        <w:widowControl w:val="0"/>
        <w:ind w:left="720"/>
      </w:pPr>
      <w:r>
        <w:t>Reason: In accordance with Section 91(1) of the Town and Country Planning Act 1990 as amended by the Planning Compulsory Purchase Act 2004.</w:t>
      </w:r>
    </w:p>
    <w:p w:rsidR="00470DD6" w:rsidRDefault="00470DD6" w:rsidP="00470DD6">
      <w:pPr>
        <w:widowControl w:val="0"/>
        <w:ind w:left="720" w:hanging="720"/>
      </w:pPr>
    </w:p>
    <w:p w:rsidR="00470DD6" w:rsidRDefault="00470DD6" w:rsidP="00470DD6">
      <w:pPr>
        <w:widowControl w:val="0"/>
        <w:ind w:left="720" w:hanging="720"/>
      </w:pPr>
      <w:r>
        <w:t xml:space="preserve">2 </w:t>
      </w:r>
      <w:r>
        <w:tab/>
        <w:t>The development permitted shall be constructed in complete accordance with the specifications in the application and approved plans listed below, unless otherwise agreed in writing by the local planning authority.</w:t>
      </w:r>
    </w:p>
    <w:p w:rsidR="00470DD6" w:rsidRDefault="00470DD6" w:rsidP="00470DD6">
      <w:pPr>
        <w:widowControl w:val="0"/>
        <w:ind w:left="720" w:hanging="720"/>
      </w:pPr>
    </w:p>
    <w:p w:rsidR="00470DD6" w:rsidRDefault="00470DD6" w:rsidP="00470DD6">
      <w:pPr>
        <w:widowControl w:val="0"/>
        <w:ind w:left="720"/>
      </w:pPr>
      <w:r>
        <w:t>Reason: To avoid doubt and to ensure an acceptable development as indicated on the submitted drawings in accordance with policy CP1 of the Oxford Local Plan 2001-2016.</w:t>
      </w:r>
    </w:p>
    <w:p w:rsidR="00470DD6" w:rsidRDefault="00470DD6" w:rsidP="00470DD6">
      <w:pPr>
        <w:widowControl w:val="0"/>
        <w:ind w:left="720"/>
      </w:pPr>
    </w:p>
    <w:p w:rsidR="00470DD6" w:rsidRDefault="00470DD6" w:rsidP="00470DD6">
      <w:pPr>
        <w:widowControl w:val="0"/>
        <w:ind w:left="720" w:hanging="720"/>
      </w:pPr>
      <w:r>
        <w:t xml:space="preserve">3 </w:t>
      </w:r>
      <w:r>
        <w:tab/>
        <w:t>The materials to be used in the proposed development shall be as specified in the application hereby approved. There shall be no variation of these materials without the prior written consent of the Local Planning Authority.</w:t>
      </w:r>
    </w:p>
    <w:p w:rsidR="00470DD6" w:rsidRDefault="00470DD6" w:rsidP="00470DD6">
      <w:pPr>
        <w:widowControl w:val="0"/>
        <w:ind w:left="720" w:hanging="720"/>
      </w:pPr>
    </w:p>
    <w:p w:rsidR="00474D6D" w:rsidRDefault="00470DD6" w:rsidP="00470DD6">
      <w:pPr>
        <w:widowControl w:val="0"/>
        <w:ind w:left="720"/>
      </w:pPr>
      <w:r>
        <w:t>Reason: To ensure that the development is visually satisfactory as required by policy CP1 of the Oxford Local Plan 2001-2016.</w:t>
      </w:r>
    </w:p>
    <w:p w:rsidR="00474D6D" w:rsidRDefault="00474D6D" w:rsidP="00AE67D8">
      <w:pPr>
        <w:widowControl w:val="0"/>
        <w:ind w:left="720" w:hanging="720"/>
      </w:pPr>
    </w:p>
    <w:p w:rsidR="00F65F7D" w:rsidRPr="00732737" w:rsidRDefault="00F65F7D" w:rsidP="00D34CE3">
      <w:pPr>
        <w:pStyle w:val="HEADINGA"/>
      </w:pPr>
      <w:r>
        <w:t>APPENDICES</w:t>
      </w:r>
    </w:p>
    <w:p w:rsidR="00F65F7D" w:rsidRDefault="00F65F7D" w:rsidP="0026599A">
      <w:pPr>
        <w:pStyle w:val="BULLETS"/>
      </w:pPr>
      <w:r>
        <w:rPr>
          <w:b/>
        </w:rPr>
        <w:t xml:space="preserve">Appendix 1 – </w:t>
      </w:r>
      <w:r w:rsidRPr="00F65F7D">
        <w:t xml:space="preserve">Site </w:t>
      </w:r>
      <w:r w:rsidR="003048BE">
        <w:t>l</w:t>
      </w:r>
      <w:r w:rsidRPr="00F65F7D">
        <w:t xml:space="preserve">ocation </w:t>
      </w:r>
      <w:r w:rsidR="003048BE">
        <w:t>p</w:t>
      </w:r>
      <w:r w:rsidRPr="00F65F7D">
        <w:t>lan</w:t>
      </w:r>
    </w:p>
    <w:p w:rsidR="00A80ADA" w:rsidRPr="003048BE" w:rsidRDefault="00A80ADA" w:rsidP="003048BE"/>
    <w:p w:rsidR="00A80ADA" w:rsidRPr="00F351CB" w:rsidRDefault="00A80ADA" w:rsidP="004A410D">
      <w:pPr>
        <w:pStyle w:val="HEADINGA"/>
      </w:pPr>
      <w:r w:rsidRPr="00F351CB">
        <w:t>HUMAN RIGHTS ACT 1998</w:t>
      </w:r>
    </w:p>
    <w:p w:rsidR="00A80ADA" w:rsidRPr="003048BE" w:rsidRDefault="00A80ADA" w:rsidP="004A410D">
      <w:pPr>
        <w:pStyle w:val="PARAGRAPHA"/>
        <w:ind w:left="709" w:hanging="709"/>
      </w:pPr>
      <w:r w:rsidRPr="003048BE">
        <w:t xml:space="preserve">Officers have considered the implications of the Human Rights Act 1998 in reaching a recommendation to </w:t>
      </w:r>
      <w:r w:rsidR="00071FE2">
        <w:t>approve</w:t>
      </w:r>
      <w:r w:rsidRPr="003048BE">
        <w:t xml:space="preserve"> this application. They consider that the interference with the human rights of the applicant under Article 8/Article 1 of Protocol 1 is justifiable and proportionate for the protection of the rights and freedom of others or the control of his/her property in this way is in accordance with the general interest.</w:t>
      </w:r>
    </w:p>
    <w:p w:rsidR="00A80ADA" w:rsidRPr="00F351CB" w:rsidRDefault="00A80ADA" w:rsidP="004A410D">
      <w:pPr>
        <w:pStyle w:val="HEADINGA"/>
      </w:pPr>
      <w:r w:rsidRPr="00F351CB">
        <w:t>SECTION 17 OF THE CRIME AND DISORDER ACT 1998</w:t>
      </w:r>
    </w:p>
    <w:p w:rsidR="00096726" w:rsidRPr="003048BE" w:rsidRDefault="00A80ADA" w:rsidP="004A410D">
      <w:pPr>
        <w:pStyle w:val="PARAGRAPHA"/>
        <w:ind w:left="709" w:hanging="709"/>
      </w:pPr>
      <w:r w:rsidRPr="003048BE">
        <w:t>Officers have considered, with due regard, the likely effect of the proposal on the need to reduce crime and disorder as part of the determination of this application, in accordance with section 17 of th</w:t>
      </w:r>
      <w:r w:rsidR="003048BE" w:rsidRPr="003048BE">
        <w:t xml:space="preserve">e Crime and Disorder Act 1998. </w:t>
      </w:r>
      <w:r w:rsidRPr="003048BE">
        <w:t xml:space="preserve">In reaching a recommendation to </w:t>
      </w:r>
      <w:r w:rsidR="00071FE2">
        <w:t>grant</w:t>
      </w:r>
      <w:r w:rsidRPr="003048BE">
        <w:t xml:space="preserve"> planning permission, officers consider that the proposal will not undermine crime prevention or the promotion of community</w:t>
      </w:r>
      <w:r w:rsidR="00F351CB" w:rsidRPr="003048BE">
        <w:t>.</w:t>
      </w:r>
    </w:p>
    <w:p w:rsidR="004A410D" w:rsidRPr="003048BE" w:rsidRDefault="004A410D" w:rsidP="004A410D">
      <w:pPr>
        <w:pStyle w:val="PARAGRAPHA"/>
        <w:numPr>
          <w:ilvl w:val="0"/>
          <w:numId w:val="0"/>
        </w:numPr>
        <w:ind w:left="277"/>
      </w:pPr>
      <w:bookmarkStart w:id="0" w:name="_GoBack"/>
      <w:bookmarkEnd w:id="0"/>
    </w:p>
    <w:sectPr w:rsidR="004A410D" w:rsidRPr="003048BE" w:rsidSect="00F911C9">
      <w:pgSz w:w="11907" w:h="16840" w:code="9"/>
      <w:pgMar w:top="1418" w:right="1418" w:bottom="1418" w:left="1418" w:header="709" w:footer="709" w:gutter="0"/>
      <w:paperSrc w:first="2" w:other="2"/>
      <w:cols w:space="709"/>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0F5" w:rsidRDefault="00CC30F5">
      <w:r>
        <w:separator/>
      </w:r>
    </w:p>
  </w:endnote>
  <w:endnote w:type="continuationSeparator" w:id="0">
    <w:p w:rsidR="00CC30F5" w:rsidRDefault="00CC3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0F5" w:rsidRDefault="00CC30F5">
      <w:r>
        <w:separator/>
      </w:r>
    </w:p>
  </w:footnote>
  <w:footnote w:type="continuationSeparator" w:id="0">
    <w:p w:rsidR="00CC30F5" w:rsidRDefault="00CC30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30A96"/>
    <w:multiLevelType w:val="hybridMultilevel"/>
    <w:tmpl w:val="7354D066"/>
    <w:lvl w:ilvl="0" w:tplc="6D84BD26">
      <w:start w:val="1"/>
      <w:numFmt w:val="lowerLetter"/>
      <w:pStyle w:val="CONSIDERATIONSLIST"/>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20A20D81"/>
    <w:multiLevelType w:val="hybridMultilevel"/>
    <w:tmpl w:val="0366C62C"/>
    <w:lvl w:ilvl="0" w:tplc="9F8416F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3B7D7024"/>
    <w:multiLevelType w:val="hybridMultilevel"/>
    <w:tmpl w:val="C4C08656"/>
    <w:lvl w:ilvl="0" w:tplc="84C86E0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5B6B5361"/>
    <w:multiLevelType w:val="hybridMultilevel"/>
    <w:tmpl w:val="CDDE4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F1020C3"/>
    <w:multiLevelType w:val="multilevel"/>
    <w:tmpl w:val="41C21C28"/>
    <w:lvl w:ilvl="0">
      <w:start w:val="1"/>
      <w:numFmt w:val="decimal"/>
      <w:pStyle w:val="HEADINGA"/>
      <w:lvlText w:val="%1."/>
      <w:lvlJc w:val="left"/>
      <w:pPr>
        <w:ind w:left="360" w:hanging="360"/>
      </w:pPr>
      <w:rPr>
        <w:rFonts w:cs="Times New Roman" w:hint="default"/>
        <w:b/>
        <w:i w:val="0"/>
      </w:rPr>
    </w:lvl>
    <w:lvl w:ilvl="1">
      <w:start w:val="1"/>
      <w:numFmt w:val="decimal"/>
      <w:pStyle w:val="PARAGRAPHA"/>
      <w:lvlText w:val="%1.%2."/>
      <w:lvlJc w:val="left"/>
      <w:pPr>
        <w:ind w:left="432" w:hanging="432"/>
      </w:pPr>
      <w:rPr>
        <w:rFonts w:cs="Times New Roman" w:hint="default"/>
        <w:b w:val="0"/>
        <w:i w:val="0"/>
      </w:rPr>
    </w:lvl>
    <w:lvl w:ilvl="2">
      <w:start w:val="1"/>
      <w:numFmt w:val="decimal"/>
      <w:pStyle w:val="PARAGRAPHB"/>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nsid w:val="668C513E"/>
    <w:multiLevelType w:val="hybridMultilevel"/>
    <w:tmpl w:val="63D08C3C"/>
    <w:lvl w:ilvl="0" w:tplc="7FC408F4">
      <w:start w:val="1"/>
      <w:numFmt w:val="bullet"/>
      <w:pStyle w:val="BULLETS"/>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
    <w:nsid w:val="70732C7B"/>
    <w:multiLevelType w:val="hybridMultilevel"/>
    <w:tmpl w:val="3D3A401C"/>
    <w:lvl w:ilvl="0" w:tplc="84C86E02">
      <w:start w:val="1"/>
      <w:numFmt w:val="lowerRoman"/>
      <w:lvlText w:val="%1."/>
      <w:lvlJc w:val="left"/>
      <w:pPr>
        <w:ind w:left="1069" w:hanging="360"/>
      </w:pPr>
      <w:rPr>
        <w:rFonts w:hint="default"/>
      </w:rPr>
    </w:lvl>
    <w:lvl w:ilvl="1" w:tplc="08090003" w:tentative="1">
      <w:start w:val="1"/>
      <w:numFmt w:val="bullet"/>
      <w:lvlText w:val="o"/>
      <w:lvlJc w:val="left"/>
      <w:pPr>
        <w:ind w:left="1789" w:hanging="360"/>
      </w:pPr>
      <w:rPr>
        <w:rFonts w:ascii="Courier New" w:hAnsi="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hint="default"/>
      </w:rPr>
    </w:lvl>
    <w:lvl w:ilvl="8" w:tplc="08090005" w:tentative="1">
      <w:start w:val="1"/>
      <w:numFmt w:val="bullet"/>
      <w:lvlText w:val=""/>
      <w:lvlJc w:val="left"/>
      <w:pPr>
        <w:ind w:left="6829" w:hanging="360"/>
      </w:pPr>
      <w:rPr>
        <w:rFonts w:ascii="Wingdings" w:hAnsi="Wingdings" w:hint="default"/>
      </w:rPr>
    </w:lvl>
  </w:abstractNum>
  <w:num w:numId="1">
    <w:abstractNumId w:val="4"/>
  </w:num>
  <w:num w:numId="2">
    <w:abstractNumId w:val="5"/>
  </w:num>
  <w:num w:numId="3">
    <w:abstractNumId w:val="0"/>
  </w:num>
  <w:num w:numId="4">
    <w:abstractNumId w:val="4"/>
  </w:num>
  <w:num w:numId="5">
    <w:abstractNumId w:val="3"/>
  </w:num>
  <w:num w:numId="6">
    <w:abstractNumId w:val="6"/>
  </w:num>
  <w:num w:numId="7">
    <w:abstractNumId w:val="1"/>
  </w:num>
  <w:num w:numId="8">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printFractionalCharacterWidth/>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C42"/>
    <w:rsid w:val="00000B27"/>
    <w:rsid w:val="00002D00"/>
    <w:rsid w:val="00005639"/>
    <w:rsid w:val="000078FB"/>
    <w:rsid w:val="000154CE"/>
    <w:rsid w:val="00015748"/>
    <w:rsid w:val="00015F1B"/>
    <w:rsid w:val="00024CED"/>
    <w:rsid w:val="0003174D"/>
    <w:rsid w:val="000336A6"/>
    <w:rsid w:val="000573FA"/>
    <w:rsid w:val="00057B98"/>
    <w:rsid w:val="000616D7"/>
    <w:rsid w:val="00071FE2"/>
    <w:rsid w:val="00083636"/>
    <w:rsid w:val="00096726"/>
    <w:rsid w:val="000A4C5A"/>
    <w:rsid w:val="000B0E6D"/>
    <w:rsid w:val="000B5C1B"/>
    <w:rsid w:val="000B6132"/>
    <w:rsid w:val="000B619E"/>
    <w:rsid w:val="000C5F5F"/>
    <w:rsid w:val="000D4A28"/>
    <w:rsid w:val="000E0A9B"/>
    <w:rsid w:val="000E1145"/>
    <w:rsid w:val="000E26A8"/>
    <w:rsid w:val="000E729E"/>
    <w:rsid w:val="000E777F"/>
    <w:rsid w:val="000F5F1B"/>
    <w:rsid w:val="0010244D"/>
    <w:rsid w:val="00106DC0"/>
    <w:rsid w:val="0011585C"/>
    <w:rsid w:val="0011625B"/>
    <w:rsid w:val="00127759"/>
    <w:rsid w:val="00127AA2"/>
    <w:rsid w:val="001350CE"/>
    <w:rsid w:val="00137F3A"/>
    <w:rsid w:val="0014021C"/>
    <w:rsid w:val="0014339D"/>
    <w:rsid w:val="001443EC"/>
    <w:rsid w:val="0015273B"/>
    <w:rsid w:val="0017675D"/>
    <w:rsid w:val="00177751"/>
    <w:rsid w:val="00181291"/>
    <w:rsid w:val="00181BD8"/>
    <w:rsid w:val="00181FF8"/>
    <w:rsid w:val="00183147"/>
    <w:rsid w:val="0018494E"/>
    <w:rsid w:val="00185A4B"/>
    <w:rsid w:val="001866CA"/>
    <w:rsid w:val="0018751C"/>
    <w:rsid w:val="0019501C"/>
    <w:rsid w:val="001951F9"/>
    <w:rsid w:val="001A0012"/>
    <w:rsid w:val="001B3476"/>
    <w:rsid w:val="001B59B7"/>
    <w:rsid w:val="001C1B31"/>
    <w:rsid w:val="001C242F"/>
    <w:rsid w:val="001C31F0"/>
    <w:rsid w:val="001D3250"/>
    <w:rsid w:val="001E37A6"/>
    <w:rsid w:val="001E39A8"/>
    <w:rsid w:val="00204F70"/>
    <w:rsid w:val="0021076C"/>
    <w:rsid w:val="00214DAB"/>
    <w:rsid w:val="002169BE"/>
    <w:rsid w:val="00217B74"/>
    <w:rsid w:val="00226A0E"/>
    <w:rsid w:val="00234E6B"/>
    <w:rsid w:val="00237C5F"/>
    <w:rsid w:val="00242716"/>
    <w:rsid w:val="00242DFF"/>
    <w:rsid w:val="002510F5"/>
    <w:rsid w:val="00251CCA"/>
    <w:rsid w:val="00254C34"/>
    <w:rsid w:val="002576CC"/>
    <w:rsid w:val="002647E6"/>
    <w:rsid w:val="0026599A"/>
    <w:rsid w:val="002669E6"/>
    <w:rsid w:val="002745ED"/>
    <w:rsid w:val="00275CD3"/>
    <w:rsid w:val="0027748E"/>
    <w:rsid w:val="0028008A"/>
    <w:rsid w:val="00281E96"/>
    <w:rsid w:val="00295E03"/>
    <w:rsid w:val="002A11B2"/>
    <w:rsid w:val="002A2534"/>
    <w:rsid w:val="002A68B7"/>
    <w:rsid w:val="002B1059"/>
    <w:rsid w:val="002B1AAC"/>
    <w:rsid w:val="002C3F3A"/>
    <w:rsid w:val="002D54ED"/>
    <w:rsid w:val="002D6F35"/>
    <w:rsid w:val="002E4DB2"/>
    <w:rsid w:val="002F1815"/>
    <w:rsid w:val="002F4C38"/>
    <w:rsid w:val="003013BB"/>
    <w:rsid w:val="003048BE"/>
    <w:rsid w:val="003077CA"/>
    <w:rsid w:val="00307E62"/>
    <w:rsid w:val="00314022"/>
    <w:rsid w:val="003141ED"/>
    <w:rsid w:val="0031452B"/>
    <w:rsid w:val="00323851"/>
    <w:rsid w:val="00323BA0"/>
    <w:rsid w:val="0033633F"/>
    <w:rsid w:val="00346EBC"/>
    <w:rsid w:val="00356A1B"/>
    <w:rsid w:val="00360328"/>
    <w:rsid w:val="003626E4"/>
    <w:rsid w:val="00363D21"/>
    <w:rsid w:val="00377A39"/>
    <w:rsid w:val="00380D3A"/>
    <w:rsid w:val="00381250"/>
    <w:rsid w:val="00383CF3"/>
    <w:rsid w:val="0039232B"/>
    <w:rsid w:val="00394C13"/>
    <w:rsid w:val="003A359E"/>
    <w:rsid w:val="003A7C49"/>
    <w:rsid w:val="003B278C"/>
    <w:rsid w:val="003B4947"/>
    <w:rsid w:val="003C00FD"/>
    <w:rsid w:val="003C2125"/>
    <w:rsid w:val="003D5ABE"/>
    <w:rsid w:val="003D665A"/>
    <w:rsid w:val="003E3DF5"/>
    <w:rsid w:val="003F0C59"/>
    <w:rsid w:val="003F40D8"/>
    <w:rsid w:val="003F69EB"/>
    <w:rsid w:val="004126E8"/>
    <w:rsid w:val="00421AC7"/>
    <w:rsid w:val="00425B6C"/>
    <w:rsid w:val="0044428E"/>
    <w:rsid w:val="00455800"/>
    <w:rsid w:val="00456EDB"/>
    <w:rsid w:val="00457D74"/>
    <w:rsid w:val="00466D5A"/>
    <w:rsid w:val="00470DD6"/>
    <w:rsid w:val="00472776"/>
    <w:rsid w:val="00474D6D"/>
    <w:rsid w:val="0049254E"/>
    <w:rsid w:val="00492F48"/>
    <w:rsid w:val="00493166"/>
    <w:rsid w:val="00497AEF"/>
    <w:rsid w:val="004A33AE"/>
    <w:rsid w:val="004A410D"/>
    <w:rsid w:val="004A76A5"/>
    <w:rsid w:val="004B2289"/>
    <w:rsid w:val="004B2DBD"/>
    <w:rsid w:val="004C2C8A"/>
    <w:rsid w:val="004D41DE"/>
    <w:rsid w:val="004E662D"/>
    <w:rsid w:val="004F5287"/>
    <w:rsid w:val="004F5ADF"/>
    <w:rsid w:val="00500439"/>
    <w:rsid w:val="00512DE8"/>
    <w:rsid w:val="00513040"/>
    <w:rsid w:val="00515927"/>
    <w:rsid w:val="00521741"/>
    <w:rsid w:val="00521DD8"/>
    <w:rsid w:val="00527A85"/>
    <w:rsid w:val="00531262"/>
    <w:rsid w:val="00537C27"/>
    <w:rsid w:val="005418A7"/>
    <w:rsid w:val="00544E65"/>
    <w:rsid w:val="00555BD1"/>
    <w:rsid w:val="005651B3"/>
    <w:rsid w:val="005759DA"/>
    <w:rsid w:val="00586449"/>
    <w:rsid w:val="005A26AD"/>
    <w:rsid w:val="005A4AD4"/>
    <w:rsid w:val="005B5EC7"/>
    <w:rsid w:val="005C34FE"/>
    <w:rsid w:val="005C4ED6"/>
    <w:rsid w:val="005C7AA3"/>
    <w:rsid w:val="005D3CAE"/>
    <w:rsid w:val="005D4FAC"/>
    <w:rsid w:val="005E2B6D"/>
    <w:rsid w:val="005F34F8"/>
    <w:rsid w:val="00603BB9"/>
    <w:rsid w:val="00606DBD"/>
    <w:rsid w:val="006110E7"/>
    <w:rsid w:val="00615145"/>
    <w:rsid w:val="00621DA0"/>
    <w:rsid w:val="00623235"/>
    <w:rsid w:val="00623C46"/>
    <w:rsid w:val="006527E4"/>
    <w:rsid w:val="00654799"/>
    <w:rsid w:val="0065537B"/>
    <w:rsid w:val="006572A4"/>
    <w:rsid w:val="006729F9"/>
    <w:rsid w:val="0067601E"/>
    <w:rsid w:val="00686C7F"/>
    <w:rsid w:val="00694AD2"/>
    <w:rsid w:val="006963BF"/>
    <w:rsid w:val="006A1ED6"/>
    <w:rsid w:val="006A2F52"/>
    <w:rsid w:val="006A5990"/>
    <w:rsid w:val="006B206E"/>
    <w:rsid w:val="006C5335"/>
    <w:rsid w:val="006D6306"/>
    <w:rsid w:val="006E46D5"/>
    <w:rsid w:val="006E554D"/>
    <w:rsid w:val="006F11C9"/>
    <w:rsid w:val="006F23C6"/>
    <w:rsid w:val="006F70CE"/>
    <w:rsid w:val="006F7619"/>
    <w:rsid w:val="00700FEB"/>
    <w:rsid w:val="0070423B"/>
    <w:rsid w:val="007062BB"/>
    <w:rsid w:val="00706B5E"/>
    <w:rsid w:val="00707CE3"/>
    <w:rsid w:val="00710558"/>
    <w:rsid w:val="00711FC4"/>
    <w:rsid w:val="00714147"/>
    <w:rsid w:val="0072208D"/>
    <w:rsid w:val="007221CD"/>
    <w:rsid w:val="00732737"/>
    <w:rsid w:val="0076175B"/>
    <w:rsid w:val="00762CE0"/>
    <w:rsid w:val="00771D40"/>
    <w:rsid w:val="00773ED5"/>
    <w:rsid w:val="007818A8"/>
    <w:rsid w:val="007872A5"/>
    <w:rsid w:val="0078733B"/>
    <w:rsid w:val="0079102C"/>
    <w:rsid w:val="00794569"/>
    <w:rsid w:val="0079627C"/>
    <w:rsid w:val="007A149B"/>
    <w:rsid w:val="007A245D"/>
    <w:rsid w:val="007C5997"/>
    <w:rsid w:val="007C7D27"/>
    <w:rsid w:val="007E1065"/>
    <w:rsid w:val="007E7C87"/>
    <w:rsid w:val="007F0EF8"/>
    <w:rsid w:val="00800065"/>
    <w:rsid w:val="00803086"/>
    <w:rsid w:val="00806F0A"/>
    <w:rsid w:val="008151B6"/>
    <w:rsid w:val="00816124"/>
    <w:rsid w:val="00826719"/>
    <w:rsid w:val="0083113B"/>
    <w:rsid w:val="00837EB6"/>
    <w:rsid w:val="008506F3"/>
    <w:rsid w:val="00853971"/>
    <w:rsid w:val="00861686"/>
    <w:rsid w:val="008631DE"/>
    <w:rsid w:val="00865B6D"/>
    <w:rsid w:val="008670A5"/>
    <w:rsid w:val="008671F1"/>
    <w:rsid w:val="00876E0A"/>
    <w:rsid w:val="00880933"/>
    <w:rsid w:val="00886CAE"/>
    <w:rsid w:val="008A1147"/>
    <w:rsid w:val="008A7A59"/>
    <w:rsid w:val="008B7E72"/>
    <w:rsid w:val="008C18E2"/>
    <w:rsid w:val="008C1DB4"/>
    <w:rsid w:val="008D2963"/>
    <w:rsid w:val="008D4B3C"/>
    <w:rsid w:val="008E0CD8"/>
    <w:rsid w:val="008F78D1"/>
    <w:rsid w:val="00903B0E"/>
    <w:rsid w:val="0090687C"/>
    <w:rsid w:val="0091275F"/>
    <w:rsid w:val="00915CC5"/>
    <w:rsid w:val="009173D9"/>
    <w:rsid w:val="00937533"/>
    <w:rsid w:val="00940022"/>
    <w:rsid w:val="00941B66"/>
    <w:rsid w:val="00942258"/>
    <w:rsid w:val="00946526"/>
    <w:rsid w:val="0094788B"/>
    <w:rsid w:val="00952AE1"/>
    <w:rsid w:val="00956470"/>
    <w:rsid w:val="00956AFB"/>
    <w:rsid w:val="00966F3A"/>
    <w:rsid w:val="00967049"/>
    <w:rsid w:val="00971F4D"/>
    <w:rsid w:val="00981023"/>
    <w:rsid w:val="00990D8E"/>
    <w:rsid w:val="009A0527"/>
    <w:rsid w:val="009A28FC"/>
    <w:rsid w:val="009B4BD6"/>
    <w:rsid w:val="009C7476"/>
    <w:rsid w:val="009C7FB6"/>
    <w:rsid w:val="009D1FE0"/>
    <w:rsid w:val="009E0B85"/>
    <w:rsid w:val="009E16BC"/>
    <w:rsid w:val="009E18B9"/>
    <w:rsid w:val="009E33BA"/>
    <w:rsid w:val="009E49C4"/>
    <w:rsid w:val="009F0164"/>
    <w:rsid w:val="009F0DDA"/>
    <w:rsid w:val="00A05BA2"/>
    <w:rsid w:val="00A06929"/>
    <w:rsid w:val="00A10F3F"/>
    <w:rsid w:val="00A110A7"/>
    <w:rsid w:val="00A12063"/>
    <w:rsid w:val="00A177D7"/>
    <w:rsid w:val="00A308F1"/>
    <w:rsid w:val="00A373B5"/>
    <w:rsid w:val="00A651BF"/>
    <w:rsid w:val="00A67B0B"/>
    <w:rsid w:val="00A700F7"/>
    <w:rsid w:val="00A72784"/>
    <w:rsid w:val="00A80ADA"/>
    <w:rsid w:val="00A821B7"/>
    <w:rsid w:val="00A8368B"/>
    <w:rsid w:val="00AA447F"/>
    <w:rsid w:val="00AB384D"/>
    <w:rsid w:val="00AB3CB0"/>
    <w:rsid w:val="00AC3C14"/>
    <w:rsid w:val="00AD0522"/>
    <w:rsid w:val="00AD1C42"/>
    <w:rsid w:val="00AD28A1"/>
    <w:rsid w:val="00AD7F54"/>
    <w:rsid w:val="00AE1893"/>
    <w:rsid w:val="00AE67D8"/>
    <w:rsid w:val="00AF0A1A"/>
    <w:rsid w:val="00AF0ED2"/>
    <w:rsid w:val="00AF1B8E"/>
    <w:rsid w:val="00AF5994"/>
    <w:rsid w:val="00AF70B6"/>
    <w:rsid w:val="00AF7823"/>
    <w:rsid w:val="00B03FB5"/>
    <w:rsid w:val="00B070C3"/>
    <w:rsid w:val="00B111A6"/>
    <w:rsid w:val="00B13595"/>
    <w:rsid w:val="00B24BC1"/>
    <w:rsid w:val="00B3150D"/>
    <w:rsid w:val="00B33AEC"/>
    <w:rsid w:val="00B42376"/>
    <w:rsid w:val="00B535F4"/>
    <w:rsid w:val="00B54261"/>
    <w:rsid w:val="00B571A0"/>
    <w:rsid w:val="00B6080E"/>
    <w:rsid w:val="00B77562"/>
    <w:rsid w:val="00B77756"/>
    <w:rsid w:val="00B81BD6"/>
    <w:rsid w:val="00B917BB"/>
    <w:rsid w:val="00B937C6"/>
    <w:rsid w:val="00B94897"/>
    <w:rsid w:val="00B950A7"/>
    <w:rsid w:val="00BB0BBA"/>
    <w:rsid w:val="00BB2096"/>
    <w:rsid w:val="00BB62C6"/>
    <w:rsid w:val="00BB6688"/>
    <w:rsid w:val="00BE44B9"/>
    <w:rsid w:val="00BE7C75"/>
    <w:rsid w:val="00BE7E6A"/>
    <w:rsid w:val="00C0330C"/>
    <w:rsid w:val="00C03B17"/>
    <w:rsid w:val="00C04F4C"/>
    <w:rsid w:val="00C24463"/>
    <w:rsid w:val="00C261A5"/>
    <w:rsid w:val="00C342EA"/>
    <w:rsid w:val="00C37D1C"/>
    <w:rsid w:val="00C4387F"/>
    <w:rsid w:val="00C45CA9"/>
    <w:rsid w:val="00C546C1"/>
    <w:rsid w:val="00C607B0"/>
    <w:rsid w:val="00C64109"/>
    <w:rsid w:val="00C67F93"/>
    <w:rsid w:val="00C70A60"/>
    <w:rsid w:val="00C71C47"/>
    <w:rsid w:val="00C72085"/>
    <w:rsid w:val="00C80F25"/>
    <w:rsid w:val="00C81F67"/>
    <w:rsid w:val="00C8689D"/>
    <w:rsid w:val="00C92A40"/>
    <w:rsid w:val="00C96802"/>
    <w:rsid w:val="00CA5B17"/>
    <w:rsid w:val="00CB4640"/>
    <w:rsid w:val="00CB5CDD"/>
    <w:rsid w:val="00CC1B16"/>
    <w:rsid w:val="00CC30F5"/>
    <w:rsid w:val="00CC4625"/>
    <w:rsid w:val="00CC4C24"/>
    <w:rsid w:val="00CC4DA4"/>
    <w:rsid w:val="00CC6956"/>
    <w:rsid w:val="00CC7884"/>
    <w:rsid w:val="00CD2628"/>
    <w:rsid w:val="00CD29FD"/>
    <w:rsid w:val="00CF2C61"/>
    <w:rsid w:val="00D00B30"/>
    <w:rsid w:val="00D02B2E"/>
    <w:rsid w:val="00D0316C"/>
    <w:rsid w:val="00D15E8F"/>
    <w:rsid w:val="00D22036"/>
    <w:rsid w:val="00D24B7F"/>
    <w:rsid w:val="00D26280"/>
    <w:rsid w:val="00D26F7B"/>
    <w:rsid w:val="00D31351"/>
    <w:rsid w:val="00D34CE3"/>
    <w:rsid w:val="00D37265"/>
    <w:rsid w:val="00D374E6"/>
    <w:rsid w:val="00D470B7"/>
    <w:rsid w:val="00D60A98"/>
    <w:rsid w:val="00D62517"/>
    <w:rsid w:val="00D6529B"/>
    <w:rsid w:val="00D73F79"/>
    <w:rsid w:val="00D81A75"/>
    <w:rsid w:val="00D928A5"/>
    <w:rsid w:val="00DA2469"/>
    <w:rsid w:val="00DC136C"/>
    <w:rsid w:val="00DC6F8A"/>
    <w:rsid w:val="00DE5619"/>
    <w:rsid w:val="00DE7C82"/>
    <w:rsid w:val="00DF33C4"/>
    <w:rsid w:val="00DF49C9"/>
    <w:rsid w:val="00DF6366"/>
    <w:rsid w:val="00E05CF0"/>
    <w:rsid w:val="00E06094"/>
    <w:rsid w:val="00E06578"/>
    <w:rsid w:val="00E067DF"/>
    <w:rsid w:val="00E22CA1"/>
    <w:rsid w:val="00E337B9"/>
    <w:rsid w:val="00E36063"/>
    <w:rsid w:val="00E41324"/>
    <w:rsid w:val="00E526C9"/>
    <w:rsid w:val="00E5340D"/>
    <w:rsid w:val="00E5500B"/>
    <w:rsid w:val="00E55FDE"/>
    <w:rsid w:val="00E63810"/>
    <w:rsid w:val="00E855E6"/>
    <w:rsid w:val="00E91826"/>
    <w:rsid w:val="00E91F7E"/>
    <w:rsid w:val="00E9269B"/>
    <w:rsid w:val="00EA0008"/>
    <w:rsid w:val="00EA0B00"/>
    <w:rsid w:val="00EB43CD"/>
    <w:rsid w:val="00EB471C"/>
    <w:rsid w:val="00EC42BF"/>
    <w:rsid w:val="00EC6DE3"/>
    <w:rsid w:val="00EC7DE6"/>
    <w:rsid w:val="00ED1B19"/>
    <w:rsid w:val="00ED5E25"/>
    <w:rsid w:val="00EE7E83"/>
    <w:rsid w:val="00F15CE7"/>
    <w:rsid w:val="00F2111C"/>
    <w:rsid w:val="00F21367"/>
    <w:rsid w:val="00F231D1"/>
    <w:rsid w:val="00F30717"/>
    <w:rsid w:val="00F30B04"/>
    <w:rsid w:val="00F317CB"/>
    <w:rsid w:val="00F32D64"/>
    <w:rsid w:val="00F351CB"/>
    <w:rsid w:val="00F409A5"/>
    <w:rsid w:val="00F41F52"/>
    <w:rsid w:val="00F4398D"/>
    <w:rsid w:val="00F448A8"/>
    <w:rsid w:val="00F5089A"/>
    <w:rsid w:val="00F50FA6"/>
    <w:rsid w:val="00F514D8"/>
    <w:rsid w:val="00F55BEE"/>
    <w:rsid w:val="00F56726"/>
    <w:rsid w:val="00F61EC4"/>
    <w:rsid w:val="00F65F7D"/>
    <w:rsid w:val="00F67226"/>
    <w:rsid w:val="00F74E35"/>
    <w:rsid w:val="00F76634"/>
    <w:rsid w:val="00F80D2A"/>
    <w:rsid w:val="00F82FC5"/>
    <w:rsid w:val="00F911C9"/>
    <w:rsid w:val="00F94972"/>
    <w:rsid w:val="00FA25C1"/>
    <w:rsid w:val="00FA2ACE"/>
    <w:rsid w:val="00FA5140"/>
    <w:rsid w:val="00FA7C92"/>
    <w:rsid w:val="00FB7719"/>
    <w:rsid w:val="00FC1B47"/>
    <w:rsid w:val="00FC7875"/>
    <w:rsid w:val="00FD102A"/>
    <w:rsid w:val="00FD4111"/>
    <w:rsid w:val="00FD7E69"/>
    <w:rsid w:val="00FE2AC2"/>
    <w:rsid w:val="00FE3B22"/>
    <w:rsid w:val="00FE4547"/>
    <w:rsid w:val="00FE7CF4"/>
    <w:rsid w:val="00FF57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Arial" w:hAnsi="Arial" w:cs="Arial"/>
      <w:sz w:val="24"/>
      <w:szCs w:val="24"/>
      <w:lang w:eastAsia="en-US"/>
    </w:rPr>
  </w:style>
  <w:style w:type="paragraph" w:styleId="Heading1">
    <w:name w:val="heading 1"/>
    <w:basedOn w:val="Normal"/>
    <w:next w:val="Normal"/>
    <w:link w:val="Heading1Char"/>
    <w:uiPriority w:val="99"/>
    <w:qFormat/>
    <w:pPr>
      <w:keepNext/>
      <w:keepLines/>
      <w:ind w:left="720" w:hanging="720"/>
      <w:outlineLvl w:val="0"/>
    </w:pPr>
    <w:rPr>
      <w:b/>
      <w:bCs/>
    </w:rPr>
  </w:style>
  <w:style w:type="paragraph" w:styleId="Heading2">
    <w:name w:val="heading 2"/>
    <w:basedOn w:val="Normal"/>
    <w:next w:val="Normal"/>
    <w:link w:val="Heading2Char"/>
    <w:uiPriority w:val="99"/>
    <w:qFormat/>
    <w:pPr>
      <w:keepNext/>
      <w:widowControl w:val="0"/>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cs="Times New Roman"/>
      <w:b/>
      <w:kern w:val="32"/>
      <w:sz w:val="32"/>
      <w:lang w:val="x-none" w:eastAsia="en-US"/>
    </w:rPr>
  </w:style>
  <w:style w:type="character" w:customStyle="1" w:styleId="Heading2Char">
    <w:name w:val="Heading 2 Char"/>
    <w:basedOn w:val="DefaultParagraphFont"/>
    <w:link w:val="Heading2"/>
    <w:uiPriority w:val="9"/>
    <w:semiHidden/>
    <w:locked/>
    <w:rPr>
      <w:rFonts w:ascii="Cambria" w:hAnsi="Cambria" w:cs="Times New Roman"/>
      <w:b/>
      <w:i/>
      <w:sz w:val="28"/>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Arial" w:hAnsi="Arial" w:cs="Times New Roman"/>
      <w:sz w:val="24"/>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locked/>
    <w:rPr>
      <w:rFonts w:ascii="Arial" w:hAnsi="Arial" w:cs="Times New Roman"/>
      <w:sz w:val="24"/>
      <w:lang w:val="x-none" w:eastAsia="en-US"/>
    </w:rPr>
  </w:style>
  <w:style w:type="paragraph" w:styleId="BodyText">
    <w:name w:val="Body Text"/>
    <w:basedOn w:val="Normal"/>
    <w:link w:val="BodyTextChar"/>
    <w:uiPriority w:val="99"/>
    <w:pPr>
      <w:ind w:right="-1"/>
      <w:jc w:val="both"/>
    </w:pPr>
    <w:rPr>
      <w:sz w:val="22"/>
      <w:szCs w:val="22"/>
    </w:rPr>
  </w:style>
  <w:style w:type="character" w:customStyle="1" w:styleId="BodyTextChar">
    <w:name w:val="Body Text Char"/>
    <w:basedOn w:val="DefaultParagraphFont"/>
    <w:link w:val="BodyText"/>
    <w:uiPriority w:val="99"/>
    <w:semiHidden/>
    <w:locked/>
    <w:rPr>
      <w:rFonts w:ascii="Arial" w:hAnsi="Arial" w:cs="Times New Roman"/>
      <w:sz w:val="24"/>
      <w:lang w:val="x-none" w:eastAsia="en-US"/>
    </w:rPr>
  </w:style>
  <w:style w:type="paragraph" w:styleId="BodyText2">
    <w:name w:val="Body Text 2"/>
    <w:basedOn w:val="Normal"/>
    <w:link w:val="BodyText2Char"/>
    <w:uiPriority w:val="99"/>
    <w:pPr>
      <w:widowControl w:val="0"/>
      <w:jc w:val="both"/>
    </w:pPr>
  </w:style>
  <w:style w:type="character" w:customStyle="1" w:styleId="BodyText2Char">
    <w:name w:val="Body Text 2 Char"/>
    <w:basedOn w:val="DefaultParagraphFont"/>
    <w:link w:val="BodyText2"/>
    <w:uiPriority w:val="99"/>
    <w:semiHidden/>
    <w:locked/>
    <w:rPr>
      <w:rFonts w:ascii="Arial" w:hAnsi="Arial" w:cs="Times New Roman"/>
      <w:sz w:val="24"/>
      <w:lang w:val="x-none" w:eastAsia="en-US"/>
    </w:rPr>
  </w:style>
  <w:style w:type="paragraph" w:customStyle="1" w:styleId="CAPS">
    <w:name w:val="CAPS"/>
    <w:uiPriority w:val="99"/>
    <w:rsid w:val="0079102C"/>
    <w:rPr>
      <w:rFonts w:eastAsia="MS Mincho"/>
      <w:lang w:eastAsia="en-US"/>
    </w:rPr>
  </w:style>
  <w:style w:type="paragraph" w:styleId="ListParagraph">
    <w:name w:val="List Paragraph"/>
    <w:basedOn w:val="Normal"/>
    <w:uiPriority w:val="34"/>
    <w:qFormat/>
    <w:rsid w:val="00FD4111"/>
    <w:pPr>
      <w:autoSpaceDE/>
      <w:autoSpaceDN/>
      <w:spacing w:after="200" w:line="276" w:lineRule="auto"/>
      <w:ind w:left="720"/>
    </w:pPr>
    <w:rPr>
      <w:rFonts w:ascii="Calibri" w:hAnsi="Calibri" w:cs="Calibri"/>
      <w:sz w:val="22"/>
      <w:szCs w:val="22"/>
    </w:rPr>
  </w:style>
  <w:style w:type="paragraph" w:customStyle="1" w:styleId="Default">
    <w:name w:val="Default"/>
    <w:link w:val="DefaultChar"/>
    <w:rsid w:val="00903B0E"/>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semiHidden/>
    <w:unhideWhenUsed/>
    <w:rsid w:val="0076175B"/>
    <w:rPr>
      <w:rFonts w:cs="Times New Roman"/>
      <w:color w:val="0563C1"/>
      <w:u w:val="single"/>
    </w:rPr>
  </w:style>
  <w:style w:type="character" w:styleId="CommentReference">
    <w:name w:val="annotation reference"/>
    <w:basedOn w:val="DefaultParagraphFont"/>
    <w:uiPriority w:val="99"/>
    <w:semiHidden/>
    <w:unhideWhenUsed/>
    <w:rsid w:val="00DE7C82"/>
    <w:rPr>
      <w:rFonts w:cs="Times New Roman"/>
      <w:sz w:val="16"/>
    </w:rPr>
  </w:style>
  <w:style w:type="paragraph" w:styleId="CommentText">
    <w:name w:val="annotation text"/>
    <w:basedOn w:val="Normal"/>
    <w:link w:val="CommentTextChar"/>
    <w:uiPriority w:val="99"/>
    <w:semiHidden/>
    <w:unhideWhenUsed/>
    <w:rsid w:val="00DE7C82"/>
    <w:rPr>
      <w:sz w:val="20"/>
      <w:szCs w:val="20"/>
    </w:rPr>
  </w:style>
  <w:style w:type="character" w:customStyle="1" w:styleId="CommentTextChar">
    <w:name w:val="Comment Text Char"/>
    <w:basedOn w:val="DefaultParagraphFont"/>
    <w:link w:val="CommentText"/>
    <w:uiPriority w:val="99"/>
    <w:semiHidden/>
    <w:locked/>
    <w:rsid w:val="00DE7C82"/>
    <w:rPr>
      <w:rFonts w:ascii="Arial" w:hAnsi="Arial" w:cs="Times New Roman"/>
      <w:sz w:val="20"/>
      <w:lang w:val="x-none" w:eastAsia="en-US"/>
    </w:rPr>
  </w:style>
  <w:style w:type="paragraph" w:styleId="CommentSubject">
    <w:name w:val="annotation subject"/>
    <w:basedOn w:val="CommentText"/>
    <w:next w:val="CommentText"/>
    <w:link w:val="CommentSubjectChar"/>
    <w:uiPriority w:val="99"/>
    <w:semiHidden/>
    <w:unhideWhenUsed/>
    <w:rsid w:val="00DE7C82"/>
    <w:rPr>
      <w:b/>
      <w:bCs/>
    </w:rPr>
  </w:style>
  <w:style w:type="character" w:customStyle="1" w:styleId="CommentSubjectChar">
    <w:name w:val="Comment Subject Char"/>
    <w:basedOn w:val="CommentTextChar"/>
    <w:link w:val="CommentSubject"/>
    <w:uiPriority w:val="99"/>
    <w:semiHidden/>
    <w:locked/>
    <w:rsid w:val="00DE7C82"/>
    <w:rPr>
      <w:rFonts w:ascii="Arial" w:hAnsi="Arial" w:cs="Times New Roman"/>
      <w:b/>
      <w:sz w:val="20"/>
      <w:lang w:val="x-none" w:eastAsia="en-US"/>
    </w:rPr>
  </w:style>
  <w:style w:type="paragraph" w:styleId="BalloonText">
    <w:name w:val="Balloon Text"/>
    <w:basedOn w:val="Normal"/>
    <w:link w:val="BalloonTextChar"/>
    <w:uiPriority w:val="99"/>
    <w:semiHidden/>
    <w:unhideWhenUsed/>
    <w:rsid w:val="00DE7C8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E7C82"/>
    <w:rPr>
      <w:rFonts w:ascii="Tahoma" w:hAnsi="Tahoma" w:cs="Times New Roman"/>
      <w:sz w:val="16"/>
      <w:lang w:val="x-none" w:eastAsia="en-US"/>
    </w:rPr>
  </w:style>
  <w:style w:type="table" w:styleId="TableGrid">
    <w:name w:val="Table Grid"/>
    <w:basedOn w:val="TableNormal"/>
    <w:uiPriority w:val="59"/>
    <w:rsid w:val="008E0C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8E0CD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styleId="MediumShading2-Accent1">
    <w:name w:val="Medium Shading 2 Accent 1"/>
    <w:basedOn w:val="TableNormal"/>
    <w:uiPriority w:val="64"/>
    <w:rsid w:val="007A149B"/>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rPr>
      <w:tblPr/>
      <w:tcPr>
        <w:tcBorders>
          <w:left w:val="nil"/>
          <w:right w:val="nil"/>
          <w:insideH w:val="nil"/>
          <w:insideV w:val="nil"/>
        </w:tcBorders>
        <w:shd w:val="clear" w:color="auto" w:fill="4F81B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LightGrid-Accent1">
    <w:name w:val="Light Grid Accent 1"/>
    <w:basedOn w:val="TableNormal"/>
    <w:uiPriority w:val="62"/>
    <w:rsid w:val="00FE2AC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HEADINGA">
    <w:name w:val="HEADING A"/>
    <w:basedOn w:val="Normal"/>
    <w:link w:val="HEADINGAChar"/>
    <w:qFormat/>
    <w:rsid w:val="00D34CE3"/>
    <w:pPr>
      <w:numPr>
        <w:numId w:val="1"/>
      </w:numPr>
      <w:spacing w:after="240"/>
      <w:ind w:left="709" w:hanging="709"/>
    </w:pPr>
    <w:rPr>
      <w:b/>
    </w:rPr>
  </w:style>
  <w:style w:type="paragraph" w:customStyle="1" w:styleId="PARAGRAPHA">
    <w:name w:val="PARAGRAPH A"/>
    <w:basedOn w:val="Normal"/>
    <w:link w:val="PARAGRAPHAChar"/>
    <w:qFormat/>
    <w:rsid w:val="003048BE"/>
    <w:pPr>
      <w:numPr>
        <w:ilvl w:val="1"/>
        <w:numId w:val="1"/>
      </w:numPr>
      <w:spacing w:after="240"/>
      <w:jc w:val="both"/>
    </w:pPr>
  </w:style>
  <w:style w:type="character" w:customStyle="1" w:styleId="HEADINGAChar">
    <w:name w:val="HEADING A Char"/>
    <w:basedOn w:val="DefaultParagraphFont"/>
    <w:link w:val="HEADINGA"/>
    <w:locked/>
    <w:rsid w:val="00D34CE3"/>
    <w:rPr>
      <w:rFonts w:ascii="Arial" w:hAnsi="Arial" w:cs="Arial"/>
      <w:b/>
      <w:sz w:val="24"/>
      <w:szCs w:val="24"/>
      <w:lang w:val="x-none" w:eastAsia="en-US"/>
    </w:rPr>
  </w:style>
  <w:style w:type="paragraph" w:customStyle="1" w:styleId="BULLETS">
    <w:name w:val="BULLETS"/>
    <w:basedOn w:val="Normal"/>
    <w:link w:val="BULLETSChar"/>
    <w:qFormat/>
    <w:rsid w:val="0026599A"/>
    <w:pPr>
      <w:widowControl w:val="0"/>
      <w:numPr>
        <w:numId w:val="2"/>
      </w:numPr>
      <w:spacing w:after="120"/>
      <w:jc w:val="both"/>
    </w:pPr>
    <w:rPr>
      <w:bCs/>
    </w:rPr>
  </w:style>
  <w:style w:type="character" w:customStyle="1" w:styleId="PARAGRAPHAChar">
    <w:name w:val="PARAGRAPH A Char"/>
    <w:basedOn w:val="DefaultParagraphFont"/>
    <w:link w:val="PARAGRAPHA"/>
    <w:locked/>
    <w:rsid w:val="003048BE"/>
    <w:rPr>
      <w:rFonts w:ascii="Arial" w:hAnsi="Arial" w:cs="Arial"/>
      <w:sz w:val="24"/>
      <w:szCs w:val="24"/>
      <w:lang w:val="x-none" w:eastAsia="en-US"/>
    </w:rPr>
  </w:style>
  <w:style w:type="paragraph" w:customStyle="1" w:styleId="PARAGRAPHB">
    <w:name w:val="PARAGRAPH B"/>
    <w:basedOn w:val="Normal"/>
    <w:link w:val="PARAGRAPHBChar"/>
    <w:qFormat/>
    <w:rsid w:val="00D34CE3"/>
    <w:pPr>
      <w:widowControl w:val="0"/>
      <w:numPr>
        <w:ilvl w:val="2"/>
        <w:numId w:val="1"/>
      </w:numPr>
      <w:spacing w:after="240"/>
      <w:ind w:left="709" w:hanging="709"/>
      <w:jc w:val="both"/>
    </w:pPr>
    <w:rPr>
      <w:bCs/>
    </w:rPr>
  </w:style>
  <w:style w:type="character" w:customStyle="1" w:styleId="BULLETSChar">
    <w:name w:val="BULLETS Char"/>
    <w:basedOn w:val="DefaultParagraphFont"/>
    <w:link w:val="BULLETS"/>
    <w:locked/>
    <w:rsid w:val="0026599A"/>
    <w:rPr>
      <w:rFonts w:ascii="Arial" w:hAnsi="Arial" w:cs="Arial"/>
      <w:bCs/>
      <w:sz w:val="24"/>
      <w:szCs w:val="24"/>
      <w:lang w:val="x-none" w:eastAsia="en-US"/>
    </w:rPr>
  </w:style>
  <w:style w:type="paragraph" w:customStyle="1" w:styleId="HEADINGB">
    <w:name w:val="HEADING B"/>
    <w:basedOn w:val="Normal"/>
    <w:link w:val="HEADINGBChar"/>
    <w:qFormat/>
    <w:rsid w:val="00880933"/>
    <w:pPr>
      <w:spacing w:after="240"/>
      <w:ind w:firstLine="709"/>
    </w:pPr>
    <w:rPr>
      <w:b/>
    </w:rPr>
  </w:style>
  <w:style w:type="character" w:customStyle="1" w:styleId="PARAGRAPHBChar">
    <w:name w:val="PARAGRAPH B Char"/>
    <w:basedOn w:val="DefaultParagraphFont"/>
    <w:link w:val="PARAGRAPHB"/>
    <w:locked/>
    <w:rsid w:val="00D34CE3"/>
    <w:rPr>
      <w:rFonts w:ascii="Arial" w:hAnsi="Arial" w:cs="Arial"/>
      <w:bCs/>
      <w:sz w:val="24"/>
      <w:szCs w:val="24"/>
      <w:lang w:val="x-none" w:eastAsia="en-US"/>
    </w:rPr>
  </w:style>
  <w:style w:type="paragraph" w:customStyle="1" w:styleId="HEADINGC">
    <w:name w:val="HEADING C"/>
    <w:basedOn w:val="Default"/>
    <w:link w:val="HEADINGCChar"/>
    <w:qFormat/>
    <w:rsid w:val="00880933"/>
    <w:pPr>
      <w:spacing w:after="240"/>
      <w:ind w:left="425" w:firstLine="284"/>
      <w:jc w:val="both"/>
    </w:pPr>
    <w:rPr>
      <w:u w:val="single"/>
    </w:rPr>
  </w:style>
  <w:style w:type="character" w:customStyle="1" w:styleId="HEADINGBChar">
    <w:name w:val="HEADING B Char"/>
    <w:basedOn w:val="DefaultParagraphFont"/>
    <w:link w:val="HEADINGB"/>
    <w:locked/>
    <w:rsid w:val="00880933"/>
    <w:rPr>
      <w:rFonts w:ascii="Arial" w:hAnsi="Arial" w:cs="Arial"/>
      <w:b/>
      <w:sz w:val="24"/>
      <w:szCs w:val="24"/>
      <w:lang w:val="x-none" w:eastAsia="en-US"/>
    </w:rPr>
  </w:style>
  <w:style w:type="paragraph" w:customStyle="1" w:styleId="CONSIDERATIONSLIST">
    <w:name w:val="CONSIDERATIONS LIST"/>
    <w:basedOn w:val="Normal"/>
    <w:link w:val="CONSIDERATIONSLISTChar"/>
    <w:rsid w:val="006E554D"/>
    <w:pPr>
      <w:numPr>
        <w:numId w:val="3"/>
      </w:numPr>
    </w:pPr>
  </w:style>
  <w:style w:type="character" w:customStyle="1" w:styleId="DefaultChar">
    <w:name w:val="Default Char"/>
    <w:basedOn w:val="DefaultParagraphFont"/>
    <w:link w:val="Default"/>
    <w:locked/>
    <w:rsid w:val="00880933"/>
    <w:rPr>
      <w:rFonts w:ascii="Arial" w:hAnsi="Arial" w:cs="Arial"/>
      <w:color w:val="000000"/>
      <w:sz w:val="24"/>
      <w:szCs w:val="24"/>
    </w:rPr>
  </w:style>
  <w:style w:type="character" w:customStyle="1" w:styleId="HEADINGCChar">
    <w:name w:val="HEADING C Char"/>
    <w:basedOn w:val="DefaultChar"/>
    <w:link w:val="HEADINGC"/>
    <w:locked/>
    <w:rsid w:val="00880933"/>
    <w:rPr>
      <w:rFonts w:ascii="Arial" w:hAnsi="Arial" w:cs="Arial"/>
      <w:color w:val="000000"/>
      <w:sz w:val="24"/>
      <w:szCs w:val="24"/>
      <w:u w:val="single"/>
    </w:rPr>
  </w:style>
  <w:style w:type="paragraph" w:customStyle="1" w:styleId="CONSIDERATIONSHEADINGS">
    <w:name w:val="CONSIDERATIONS HEADINGS"/>
    <w:basedOn w:val="CONSIDERATIONSLIST"/>
    <w:link w:val="CONSIDERATIONSHEADINGSChar"/>
    <w:qFormat/>
    <w:rsid w:val="0026599A"/>
    <w:pPr>
      <w:tabs>
        <w:tab w:val="left" w:pos="1134"/>
      </w:tabs>
      <w:spacing w:after="240"/>
      <w:ind w:left="1134" w:hanging="425"/>
    </w:pPr>
    <w:rPr>
      <w:b/>
    </w:rPr>
  </w:style>
  <w:style w:type="character" w:customStyle="1" w:styleId="CONSIDERATIONSLISTChar">
    <w:name w:val="CONSIDERATIONS LIST Char"/>
    <w:basedOn w:val="DefaultParagraphFont"/>
    <w:link w:val="CONSIDERATIONSLIST"/>
    <w:locked/>
    <w:rsid w:val="006E554D"/>
    <w:rPr>
      <w:rFonts w:ascii="Arial" w:hAnsi="Arial" w:cs="Arial"/>
      <w:sz w:val="24"/>
      <w:szCs w:val="24"/>
      <w:lang w:val="x-none" w:eastAsia="en-US"/>
    </w:rPr>
  </w:style>
  <w:style w:type="character" w:customStyle="1" w:styleId="CONSIDERATIONSHEADINGSChar">
    <w:name w:val="CONSIDERATIONS HEADINGS Char"/>
    <w:basedOn w:val="CONSIDERATIONSLISTChar"/>
    <w:link w:val="CONSIDERATIONSHEADINGS"/>
    <w:locked/>
    <w:rsid w:val="0026599A"/>
    <w:rPr>
      <w:rFonts w:ascii="Arial" w:hAnsi="Arial" w:cs="Arial"/>
      <w:b/>
      <w:sz w:val="24"/>
      <w:szCs w:val="24"/>
      <w:lang w:val="x-non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Arial" w:hAnsi="Arial" w:cs="Arial"/>
      <w:sz w:val="24"/>
      <w:szCs w:val="24"/>
      <w:lang w:eastAsia="en-US"/>
    </w:rPr>
  </w:style>
  <w:style w:type="paragraph" w:styleId="Heading1">
    <w:name w:val="heading 1"/>
    <w:basedOn w:val="Normal"/>
    <w:next w:val="Normal"/>
    <w:link w:val="Heading1Char"/>
    <w:uiPriority w:val="99"/>
    <w:qFormat/>
    <w:pPr>
      <w:keepNext/>
      <w:keepLines/>
      <w:ind w:left="720" w:hanging="720"/>
      <w:outlineLvl w:val="0"/>
    </w:pPr>
    <w:rPr>
      <w:b/>
      <w:bCs/>
    </w:rPr>
  </w:style>
  <w:style w:type="paragraph" w:styleId="Heading2">
    <w:name w:val="heading 2"/>
    <w:basedOn w:val="Normal"/>
    <w:next w:val="Normal"/>
    <w:link w:val="Heading2Char"/>
    <w:uiPriority w:val="99"/>
    <w:qFormat/>
    <w:pPr>
      <w:keepNext/>
      <w:widowControl w:val="0"/>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cs="Times New Roman"/>
      <w:b/>
      <w:kern w:val="32"/>
      <w:sz w:val="32"/>
      <w:lang w:val="x-none" w:eastAsia="en-US"/>
    </w:rPr>
  </w:style>
  <w:style w:type="character" w:customStyle="1" w:styleId="Heading2Char">
    <w:name w:val="Heading 2 Char"/>
    <w:basedOn w:val="DefaultParagraphFont"/>
    <w:link w:val="Heading2"/>
    <w:uiPriority w:val="9"/>
    <w:semiHidden/>
    <w:locked/>
    <w:rPr>
      <w:rFonts w:ascii="Cambria" w:hAnsi="Cambria" w:cs="Times New Roman"/>
      <w:b/>
      <w:i/>
      <w:sz w:val="28"/>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Arial" w:hAnsi="Arial" w:cs="Times New Roman"/>
      <w:sz w:val="24"/>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locked/>
    <w:rPr>
      <w:rFonts w:ascii="Arial" w:hAnsi="Arial" w:cs="Times New Roman"/>
      <w:sz w:val="24"/>
      <w:lang w:val="x-none" w:eastAsia="en-US"/>
    </w:rPr>
  </w:style>
  <w:style w:type="paragraph" w:styleId="BodyText">
    <w:name w:val="Body Text"/>
    <w:basedOn w:val="Normal"/>
    <w:link w:val="BodyTextChar"/>
    <w:uiPriority w:val="99"/>
    <w:pPr>
      <w:ind w:right="-1"/>
      <w:jc w:val="both"/>
    </w:pPr>
    <w:rPr>
      <w:sz w:val="22"/>
      <w:szCs w:val="22"/>
    </w:rPr>
  </w:style>
  <w:style w:type="character" w:customStyle="1" w:styleId="BodyTextChar">
    <w:name w:val="Body Text Char"/>
    <w:basedOn w:val="DefaultParagraphFont"/>
    <w:link w:val="BodyText"/>
    <w:uiPriority w:val="99"/>
    <w:semiHidden/>
    <w:locked/>
    <w:rPr>
      <w:rFonts w:ascii="Arial" w:hAnsi="Arial" w:cs="Times New Roman"/>
      <w:sz w:val="24"/>
      <w:lang w:val="x-none" w:eastAsia="en-US"/>
    </w:rPr>
  </w:style>
  <w:style w:type="paragraph" w:styleId="BodyText2">
    <w:name w:val="Body Text 2"/>
    <w:basedOn w:val="Normal"/>
    <w:link w:val="BodyText2Char"/>
    <w:uiPriority w:val="99"/>
    <w:pPr>
      <w:widowControl w:val="0"/>
      <w:jc w:val="both"/>
    </w:pPr>
  </w:style>
  <w:style w:type="character" w:customStyle="1" w:styleId="BodyText2Char">
    <w:name w:val="Body Text 2 Char"/>
    <w:basedOn w:val="DefaultParagraphFont"/>
    <w:link w:val="BodyText2"/>
    <w:uiPriority w:val="99"/>
    <w:semiHidden/>
    <w:locked/>
    <w:rPr>
      <w:rFonts w:ascii="Arial" w:hAnsi="Arial" w:cs="Times New Roman"/>
      <w:sz w:val="24"/>
      <w:lang w:val="x-none" w:eastAsia="en-US"/>
    </w:rPr>
  </w:style>
  <w:style w:type="paragraph" w:customStyle="1" w:styleId="CAPS">
    <w:name w:val="CAPS"/>
    <w:uiPriority w:val="99"/>
    <w:rsid w:val="0079102C"/>
    <w:rPr>
      <w:rFonts w:eastAsia="MS Mincho"/>
      <w:lang w:eastAsia="en-US"/>
    </w:rPr>
  </w:style>
  <w:style w:type="paragraph" w:styleId="ListParagraph">
    <w:name w:val="List Paragraph"/>
    <w:basedOn w:val="Normal"/>
    <w:uiPriority w:val="34"/>
    <w:qFormat/>
    <w:rsid w:val="00FD4111"/>
    <w:pPr>
      <w:autoSpaceDE/>
      <w:autoSpaceDN/>
      <w:spacing w:after="200" w:line="276" w:lineRule="auto"/>
      <w:ind w:left="720"/>
    </w:pPr>
    <w:rPr>
      <w:rFonts w:ascii="Calibri" w:hAnsi="Calibri" w:cs="Calibri"/>
      <w:sz w:val="22"/>
      <w:szCs w:val="22"/>
    </w:rPr>
  </w:style>
  <w:style w:type="paragraph" w:customStyle="1" w:styleId="Default">
    <w:name w:val="Default"/>
    <w:link w:val="DefaultChar"/>
    <w:rsid w:val="00903B0E"/>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semiHidden/>
    <w:unhideWhenUsed/>
    <w:rsid w:val="0076175B"/>
    <w:rPr>
      <w:rFonts w:cs="Times New Roman"/>
      <w:color w:val="0563C1"/>
      <w:u w:val="single"/>
    </w:rPr>
  </w:style>
  <w:style w:type="character" w:styleId="CommentReference">
    <w:name w:val="annotation reference"/>
    <w:basedOn w:val="DefaultParagraphFont"/>
    <w:uiPriority w:val="99"/>
    <w:semiHidden/>
    <w:unhideWhenUsed/>
    <w:rsid w:val="00DE7C82"/>
    <w:rPr>
      <w:rFonts w:cs="Times New Roman"/>
      <w:sz w:val="16"/>
    </w:rPr>
  </w:style>
  <w:style w:type="paragraph" w:styleId="CommentText">
    <w:name w:val="annotation text"/>
    <w:basedOn w:val="Normal"/>
    <w:link w:val="CommentTextChar"/>
    <w:uiPriority w:val="99"/>
    <w:semiHidden/>
    <w:unhideWhenUsed/>
    <w:rsid w:val="00DE7C82"/>
    <w:rPr>
      <w:sz w:val="20"/>
      <w:szCs w:val="20"/>
    </w:rPr>
  </w:style>
  <w:style w:type="character" w:customStyle="1" w:styleId="CommentTextChar">
    <w:name w:val="Comment Text Char"/>
    <w:basedOn w:val="DefaultParagraphFont"/>
    <w:link w:val="CommentText"/>
    <w:uiPriority w:val="99"/>
    <w:semiHidden/>
    <w:locked/>
    <w:rsid w:val="00DE7C82"/>
    <w:rPr>
      <w:rFonts w:ascii="Arial" w:hAnsi="Arial" w:cs="Times New Roman"/>
      <w:sz w:val="20"/>
      <w:lang w:val="x-none" w:eastAsia="en-US"/>
    </w:rPr>
  </w:style>
  <w:style w:type="paragraph" w:styleId="CommentSubject">
    <w:name w:val="annotation subject"/>
    <w:basedOn w:val="CommentText"/>
    <w:next w:val="CommentText"/>
    <w:link w:val="CommentSubjectChar"/>
    <w:uiPriority w:val="99"/>
    <w:semiHidden/>
    <w:unhideWhenUsed/>
    <w:rsid w:val="00DE7C82"/>
    <w:rPr>
      <w:b/>
      <w:bCs/>
    </w:rPr>
  </w:style>
  <w:style w:type="character" w:customStyle="1" w:styleId="CommentSubjectChar">
    <w:name w:val="Comment Subject Char"/>
    <w:basedOn w:val="CommentTextChar"/>
    <w:link w:val="CommentSubject"/>
    <w:uiPriority w:val="99"/>
    <w:semiHidden/>
    <w:locked/>
    <w:rsid w:val="00DE7C82"/>
    <w:rPr>
      <w:rFonts w:ascii="Arial" w:hAnsi="Arial" w:cs="Times New Roman"/>
      <w:b/>
      <w:sz w:val="20"/>
      <w:lang w:val="x-none" w:eastAsia="en-US"/>
    </w:rPr>
  </w:style>
  <w:style w:type="paragraph" w:styleId="BalloonText">
    <w:name w:val="Balloon Text"/>
    <w:basedOn w:val="Normal"/>
    <w:link w:val="BalloonTextChar"/>
    <w:uiPriority w:val="99"/>
    <w:semiHidden/>
    <w:unhideWhenUsed/>
    <w:rsid w:val="00DE7C8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E7C82"/>
    <w:rPr>
      <w:rFonts w:ascii="Tahoma" w:hAnsi="Tahoma" w:cs="Times New Roman"/>
      <w:sz w:val="16"/>
      <w:lang w:val="x-none" w:eastAsia="en-US"/>
    </w:rPr>
  </w:style>
  <w:style w:type="table" w:styleId="TableGrid">
    <w:name w:val="Table Grid"/>
    <w:basedOn w:val="TableNormal"/>
    <w:uiPriority w:val="59"/>
    <w:rsid w:val="008E0C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8E0CD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styleId="MediumShading2-Accent1">
    <w:name w:val="Medium Shading 2 Accent 1"/>
    <w:basedOn w:val="TableNormal"/>
    <w:uiPriority w:val="64"/>
    <w:rsid w:val="007A149B"/>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rPr>
      <w:tblPr/>
      <w:tcPr>
        <w:tcBorders>
          <w:left w:val="nil"/>
          <w:right w:val="nil"/>
          <w:insideH w:val="nil"/>
          <w:insideV w:val="nil"/>
        </w:tcBorders>
        <w:shd w:val="clear" w:color="auto" w:fill="4F81B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LightGrid-Accent1">
    <w:name w:val="Light Grid Accent 1"/>
    <w:basedOn w:val="TableNormal"/>
    <w:uiPriority w:val="62"/>
    <w:rsid w:val="00FE2AC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HEADINGA">
    <w:name w:val="HEADING A"/>
    <w:basedOn w:val="Normal"/>
    <w:link w:val="HEADINGAChar"/>
    <w:qFormat/>
    <w:rsid w:val="00D34CE3"/>
    <w:pPr>
      <w:numPr>
        <w:numId w:val="1"/>
      </w:numPr>
      <w:spacing w:after="240"/>
      <w:ind w:left="709" w:hanging="709"/>
    </w:pPr>
    <w:rPr>
      <w:b/>
    </w:rPr>
  </w:style>
  <w:style w:type="paragraph" w:customStyle="1" w:styleId="PARAGRAPHA">
    <w:name w:val="PARAGRAPH A"/>
    <w:basedOn w:val="Normal"/>
    <w:link w:val="PARAGRAPHAChar"/>
    <w:qFormat/>
    <w:rsid w:val="003048BE"/>
    <w:pPr>
      <w:numPr>
        <w:ilvl w:val="1"/>
        <w:numId w:val="1"/>
      </w:numPr>
      <w:spacing w:after="240"/>
      <w:jc w:val="both"/>
    </w:pPr>
  </w:style>
  <w:style w:type="character" w:customStyle="1" w:styleId="HEADINGAChar">
    <w:name w:val="HEADING A Char"/>
    <w:basedOn w:val="DefaultParagraphFont"/>
    <w:link w:val="HEADINGA"/>
    <w:locked/>
    <w:rsid w:val="00D34CE3"/>
    <w:rPr>
      <w:rFonts w:ascii="Arial" w:hAnsi="Arial" w:cs="Arial"/>
      <w:b/>
      <w:sz w:val="24"/>
      <w:szCs w:val="24"/>
      <w:lang w:val="x-none" w:eastAsia="en-US"/>
    </w:rPr>
  </w:style>
  <w:style w:type="paragraph" w:customStyle="1" w:styleId="BULLETS">
    <w:name w:val="BULLETS"/>
    <w:basedOn w:val="Normal"/>
    <w:link w:val="BULLETSChar"/>
    <w:qFormat/>
    <w:rsid w:val="0026599A"/>
    <w:pPr>
      <w:widowControl w:val="0"/>
      <w:numPr>
        <w:numId w:val="2"/>
      </w:numPr>
      <w:spacing w:after="120"/>
      <w:jc w:val="both"/>
    </w:pPr>
    <w:rPr>
      <w:bCs/>
    </w:rPr>
  </w:style>
  <w:style w:type="character" w:customStyle="1" w:styleId="PARAGRAPHAChar">
    <w:name w:val="PARAGRAPH A Char"/>
    <w:basedOn w:val="DefaultParagraphFont"/>
    <w:link w:val="PARAGRAPHA"/>
    <w:locked/>
    <w:rsid w:val="003048BE"/>
    <w:rPr>
      <w:rFonts w:ascii="Arial" w:hAnsi="Arial" w:cs="Arial"/>
      <w:sz w:val="24"/>
      <w:szCs w:val="24"/>
      <w:lang w:val="x-none" w:eastAsia="en-US"/>
    </w:rPr>
  </w:style>
  <w:style w:type="paragraph" w:customStyle="1" w:styleId="PARAGRAPHB">
    <w:name w:val="PARAGRAPH B"/>
    <w:basedOn w:val="Normal"/>
    <w:link w:val="PARAGRAPHBChar"/>
    <w:qFormat/>
    <w:rsid w:val="00D34CE3"/>
    <w:pPr>
      <w:widowControl w:val="0"/>
      <w:numPr>
        <w:ilvl w:val="2"/>
        <w:numId w:val="1"/>
      </w:numPr>
      <w:spacing w:after="240"/>
      <w:ind w:left="709" w:hanging="709"/>
      <w:jc w:val="both"/>
    </w:pPr>
    <w:rPr>
      <w:bCs/>
    </w:rPr>
  </w:style>
  <w:style w:type="character" w:customStyle="1" w:styleId="BULLETSChar">
    <w:name w:val="BULLETS Char"/>
    <w:basedOn w:val="DefaultParagraphFont"/>
    <w:link w:val="BULLETS"/>
    <w:locked/>
    <w:rsid w:val="0026599A"/>
    <w:rPr>
      <w:rFonts w:ascii="Arial" w:hAnsi="Arial" w:cs="Arial"/>
      <w:bCs/>
      <w:sz w:val="24"/>
      <w:szCs w:val="24"/>
      <w:lang w:val="x-none" w:eastAsia="en-US"/>
    </w:rPr>
  </w:style>
  <w:style w:type="paragraph" w:customStyle="1" w:styleId="HEADINGB">
    <w:name w:val="HEADING B"/>
    <w:basedOn w:val="Normal"/>
    <w:link w:val="HEADINGBChar"/>
    <w:qFormat/>
    <w:rsid w:val="00880933"/>
    <w:pPr>
      <w:spacing w:after="240"/>
      <w:ind w:firstLine="709"/>
    </w:pPr>
    <w:rPr>
      <w:b/>
    </w:rPr>
  </w:style>
  <w:style w:type="character" w:customStyle="1" w:styleId="PARAGRAPHBChar">
    <w:name w:val="PARAGRAPH B Char"/>
    <w:basedOn w:val="DefaultParagraphFont"/>
    <w:link w:val="PARAGRAPHB"/>
    <w:locked/>
    <w:rsid w:val="00D34CE3"/>
    <w:rPr>
      <w:rFonts w:ascii="Arial" w:hAnsi="Arial" w:cs="Arial"/>
      <w:bCs/>
      <w:sz w:val="24"/>
      <w:szCs w:val="24"/>
      <w:lang w:val="x-none" w:eastAsia="en-US"/>
    </w:rPr>
  </w:style>
  <w:style w:type="paragraph" w:customStyle="1" w:styleId="HEADINGC">
    <w:name w:val="HEADING C"/>
    <w:basedOn w:val="Default"/>
    <w:link w:val="HEADINGCChar"/>
    <w:qFormat/>
    <w:rsid w:val="00880933"/>
    <w:pPr>
      <w:spacing w:after="240"/>
      <w:ind w:left="425" w:firstLine="284"/>
      <w:jc w:val="both"/>
    </w:pPr>
    <w:rPr>
      <w:u w:val="single"/>
    </w:rPr>
  </w:style>
  <w:style w:type="character" w:customStyle="1" w:styleId="HEADINGBChar">
    <w:name w:val="HEADING B Char"/>
    <w:basedOn w:val="DefaultParagraphFont"/>
    <w:link w:val="HEADINGB"/>
    <w:locked/>
    <w:rsid w:val="00880933"/>
    <w:rPr>
      <w:rFonts w:ascii="Arial" w:hAnsi="Arial" w:cs="Arial"/>
      <w:b/>
      <w:sz w:val="24"/>
      <w:szCs w:val="24"/>
      <w:lang w:val="x-none" w:eastAsia="en-US"/>
    </w:rPr>
  </w:style>
  <w:style w:type="paragraph" w:customStyle="1" w:styleId="CONSIDERATIONSLIST">
    <w:name w:val="CONSIDERATIONS LIST"/>
    <w:basedOn w:val="Normal"/>
    <w:link w:val="CONSIDERATIONSLISTChar"/>
    <w:rsid w:val="006E554D"/>
    <w:pPr>
      <w:numPr>
        <w:numId w:val="3"/>
      </w:numPr>
    </w:pPr>
  </w:style>
  <w:style w:type="character" w:customStyle="1" w:styleId="DefaultChar">
    <w:name w:val="Default Char"/>
    <w:basedOn w:val="DefaultParagraphFont"/>
    <w:link w:val="Default"/>
    <w:locked/>
    <w:rsid w:val="00880933"/>
    <w:rPr>
      <w:rFonts w:ascii="Arial" w:hAnsi="Arial" w:cs="Arial"/>
      <w:color w:val="000000"/>
      <w:sz w:val="24"/>
      <w:szCs w:val="24"/>
    </w:rPr>
  </w:style>
  <w:style w:type="character" w:customStyle="1" w:styleId="HEADINGCChar">
    <w:name w:val="HEADING C Char"/>
    <w:basedOn w:val="DefaultChar"/>
    <w:link w:val="HEADINGC"/>
    <w:locked/>
    <w:rsid w:val="00880933"/>
    <w:rPr>
      <w:rFonts w:ascii="Arial" w:hAnsi="Arial" w:cs="Arial"/>
      <w:color w:val="000000"/>
      <w:sz w:val="24"/>
      <w:szCs w:val="24"/>
      <w:u w:val="single"/>
    </w:rPr>
  </w:style>
  <w:style w:type="paragraph" w:customStyle="1" w:styleId="CONSIDERATIONSHEADINGS">
    <w:name w:val="CONSIDERATIONS HEADINGS"/>
    <w:basedOn w:val="CONSIDERATIONSLIST"/>
    <w:link w:val="CONSIDERATIONSHEADINGSChar"/>
    <w:qFormat/>
    <w:rsid w:val="0026599A"/>
    <w:pPr>
      <w:tabs>
        <w:tab w:val="left" w:pos="1134"/>
      </w:tabs>
      <w:spacing w:after="240"/>
      <w:ind w:left="1134" w:hanging="425"/>
    </w:pPr>
    <w:rPr>
      <w:b/>
    </w:rPr>
  </w:style>
  <w:style w:type="character" w:customStyle="1" w:styleId="CONSIDERATIONSLISTChar">
    <w:name w:val="CONSIDERATIONS LIST Char"/>
    <w:basedOn w:val="DefaultParagraphFont"/>
    <w:link w:val="CONSIDERATIONSLIST"/>
    <w:locked/>
    <w:rsid w:val="006E554D"/>
    <w:rPr>
      <w:rFonts w:ascii="Arial" w:hAnsi="Arial" w:cs="Arial"/>
      <w:sz w:val="24"/>
      <w:szCs w:val="24"/>
      <w:lang w:val="x-none" w:eastAsia="en-US"/>
    </w:rPr>
  </w:style>
  <w:style w:type="character" w:customStyle="1" w:styleId="CONSIDERATIONSHEADINGSChar">
    <w:name w:val="CONSIDERATIONS HEADINGS Char"/>
    <w:basedOn w:val="CONSIDERATIONSLISTChar"/>
    <w:link w:val="CONSIDERATIONSHEADINGS"/>
    <w:locked/>
    <w:rsid w:val="0026599A"/>
    <w:rPr>
      <w:rFonts w:ascii="Arial" w:hAnsi="Arial" w:cs="Arial"/>
      <w:b/>
      <w:sz w:val="24"/>
      <w:szCs w:val="24"/>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6000762">
      <w:marLeft w:val="0"/>
      <w:marRight w:val="0"/>
      <w:marTop w:val="0"/>
      <w:marBottom w:val="0"/>
      <w:divBdr>
        <w:top w:val="none" w:sz="0" w:space="0" w:color="auto"/>
        <w:left w:val="none" w:sz="0" w:space="0" w:color="auto"/>
        <w:bottom w:val="none" w:sz="0" w:space="0" w:color="auto"/>
        <w:right w:val="none" w:sz="0" w:space="0" w:color="auto"/>
      </w:divBdr>
    </w:div>
    <w:div w:id="1106000763">
      <w:marLeft w:val="0"/>
      <w:marRight w:val="0"/>
      <w:marTop w:val="0"/>
      <w:marBottom w:val="0"/>
      <w:divBdr>
        <w:top w:val="none" w:sz="0" w:space="0" w:color="auto"/>
        <w:left w:val="none" w:sz="0" w:space="0" w:color="auto"/>
        <w:bottom w:val="none" w:sz="0" w:space="0" w:color="auto"/>
        <w:right w:val="none" w:sz="0" w:space="0" w:color="auto"/>
      </w:divBdr>
    </w:div>
    <w:div w:id="1106000764">
      <w:marLeft w:val="0"/>
      <w:marRight w:val="0"/>
      <w:marTop w:val="0"/>
      <w:marBottom w:val="0"/>
      <w:divBdr>
        <w:top w:val="none" w:sz="0" w:space="0" w:color="auto"/>
        <w:left w:val="none" w:sz="0" w:space="0" w:color="auto"/>
        <w:bottom w:val="none" w:sz="0" w:space="0" w:color="auto"/>
        <w:right w:val="none" w:sz="0" w:space="0" w:color="auto"/>
      </w:divBdr>
    </w:div>
    <w:div w:id="1106000765">
      <w:marLeft w:val="0"/>
      <w:marRight w:val="0"/>
      <w:marTop w:val="0"/>
      <w:marBottom w:val="0"/>
      <w:divBdr>
        <w:top w:val="none" w:sz="0" w:space="0" w:color="auto"/>
        <w:left w:val="none" w:sz="0" w:space="0" w:color="auto"/>
        <w:bottom w:val="none" w:sz="0" w:space="0" w:color="auto"/>
        <w:right w:val="none" w:sz="0" w:space="0" w:color="auto"/>
      </w:divBdr>
    </w:div>
    <w:div w:id="1106000766">
      <w:marLeft w:val="0"/>
      <w:marRight w:val="0"/>
      <w:marTop w:val="0"/>
      <w:marBottom w:val="0"/>
      <w:divBdr>
        <w:top w:val="none" w:sz="0" w:space="0" w:color="auto"/>
        <w:left w:val="none" w:sz="0" w:space="0" w:color="auto"/>
        <w:bottom w:val="none" w:sz="0" w:space="0" w:color="auto"/>
        <w:right w:val="none" w:sz="0" w:space="0" w:color="auto"/>
      </w:divBdr>
    </w:div>
    <w:div w:id="1106000767">
      <w:marLeft w:val="0"/>
      <w:marRight w:val="0"/>
      <w:marTop w:val="0"/>
      <w:marBottom w:val="0"/>
      <w:divBdr>
        <w:top w:val="none" w:sz="0" w:space="0" w:color="auto"/>
        <w:left w:val="none" w:sz="0" w:space="0" w:color="auto"/>
        <w:bottom w:val="none" w:sz="0" w:space="0" w:color="auto"/>
        <w:right w:val="none" w:sz="0" w:space="0" w:color="auto"/>
      </w:divBdr>
    </w:div>
    <w:div w:id="1106000768">
      <w:marLeft w:val="0"/>
      <w:marRight w:val="0"/>
      <w:marTop w:val="0"/>
      <w:marBottom w:val="0"/>
      <w:divBdr>
        <w:top w:val="none" w:sz="0" w:space="0" w:color="auto"/>
        <w:left w:val="none" w:sz="0" w:space="0" w:color="auto"/>
        <w:bottom w:val="none" w:sz="0" w:space="0" w:color="auto"/>
        <w:right w:val="none" w:sz="0" w:space="0" w:color="auto"/>
      </w:divBdr>
    </w:div>
    <w:div w:id="1106000769">
      <w:marLeft w:val="0"/>
      <w:marRight w:val="0"/>
      <w:marTop w:val="0"/>
      <w:marBottom w:val="0"/>
      <w:divBdr>
        <w:top w:val="none" w:sz="0" w:space="0" w:color="auto"/>
        <w:left w:val="none" w:sz="0" w:space="0" w:color="auto"/>
        <w:bottom w:val="none" w:sz="0" w:space="0" w:color="auto"/>
        <w:right w:val="none" w:sz="0" w:space="0" w:color="auto"/>
      </w:divBdr>
    </w:div>
    <w:div w:id="1106000770">
      <w:marLeft w:val="0"/>
      <w:marRight w:val="0"/>
      <w:marTop w:val="0"/>
      <w:marBottom w:val="0"/>
      <w:divBdr>
        <w:top w:val="none" w:sz="0" w:space="0" w:color="auto"/>
        <w:left w:val="none" w:sz="0" w:space="0" w:color="auto"/>
        <w:bottom w:val="none" w:sz="0" w:space="0" w:color="auto"/>
        <w:right w:val="none" w:sz="0" w:space="0" w:color="auto"/>
      </w:divBdr>
    </w:div>
    <w:div w:id="1106000771">
      <w:marLeft w:val="0"/>
      <w:marRight w:val="0"/>
      <w:marTop w:val="0"/>
      <w:marBottom w:val="0"/>
      <w:divBdr>
        <w:top w:val="none" w:sz="0" w:space="0" w:color="auto"/>
        <w:left w:val="none" w:sz="0" w:space="0" w:color="auto"/>
        <w:bottom w:val="none" w:sz="0" w:space="0" w:color="auto"/>
        <w:right w:val="none" w:sz="0" w:space="0" w:color="auto"/>
      </w:divBdr>
    </w:div>
    <w:div w:id="1106000772">
      <w:marLeft w:val="0"/>
      <w:marRight w:val="0"/>
      <w:marTop w:val="0"/>
      <w:marBottom w:val="0"/>
      <w:divBdr>
        <w:top w:val="none" w:sz="0" w:space="0" w:color="auto"/>
        <w:left w:val="none" w:sz="0" w:space="0" w:color="auto"/>
        <w:bottom w:val="none" w:sz="0" w:space="0" w:color="auto"/>
        <w:right w:val="none" w:sz="0" w:space="0" w:color="auto"/>
      </w:divBdr>
    </w:div>
    <w:div w:id="1106000773">
      <w:marLeft w:val="0"/>
      <w:marRight w:val="0"/>
      <w:marTop w:val="0"/>
      <w:marBottom w:val="0"/>
      <w:divBdr>
        <w:top w:val="none" w:sz="0" w:space="0" w:color="auto"/>
        <w:left w:val="none" w:sz="0" w:space="0" w:color="auto"/>
        <w:bottom w:val="none" w:sz="0" w:space="0" w:color="auto"/>
        <w:right w:val="none" w:sz="0" w:space="0" w:color="auto"/>
      </w:divBdr>
    </w:div>
    <w:div w:id="1106000774">
      <w:marLeft w:val="0"/>
      <w:marRight w:val="0"/>
      <w:marTop w:val="0"/>
      <w:marBottom w:val="0"/>
      <w:divBdr>
        <w:top w:val="none" w:sz="0" w:space="0" w:color="auto"/>
        <w:left w:val="none" w:sz="0" w:space="0" w:color="auto"/>
        <w:bottom w:val="none" w:sz="0" w:space="0" w:color="auto"/>
        <w:right w:val="none" w:sz="0" w:space="0" w:color="auto"/>
      </w:divBdr>
    </w:div>
    <w:div w:id="1106000775">
      <w:marLeft w:val="0"/>
      <w:marRight w:val="0"/>
      <w:marTop w:val="0"/>
      <w:marBottom w:val="0"/>
      <w:divBdr>
        <w:top w:val="none" w:sz="0" w:space="0" w:color="auto"/>
        <w:left w:val="none" w:sz="0" w:space="0" w:color="auto"/>
        <w:bottom w:val="none" w:sz="0" w:space="0" w:color="auto"/>
        <w:right w:val="none" w:sz="0" w:space="0" w:color="auto"/>
      </w:divBdr>
    </w:div>
    <w:div w:id="1106000776">
      <w:marLeft w:val="0"/>
      <w:marRight w:val="0"/>
      <w:marTop w:val="0"/>
      <w:marBottom w:val="0"/>
      <w:divBdr>
        <w:top w:val="none" w:sz="0" w:space="0" w:color="auto"/>
        <w:left w:val="none" w:sz="0" w:space="0" w:color="auto"/>
        <w:bottom w:val="none" w:sz="0" w:space="0" w:color="auto"/>
        <w:right w:val="none" w:sz="0" w:space="0" w:color="auto"/>
      </w:divBdr>
    </w:div>
    <w:div w:id="1106000777">
      <w:marLeft w:val="0"/>
      <w:marRight w:val="0"/>
      <w:marTop w:val="0"/>
      <w:marBottom w:val="0"/>
      <w:divBdr>
        <w:top w:val="none" w:sz="0" w:space="0" w:color="auto"/>
        <w:left w:val="none" w:sz="0" w:space="0" w:color="auto"/>
        <w:bottom w:val="none" w:sz="0" w:space="0" w:color="auto"/>
        <w:right w:val="none" w:sz="0" w:space="0" w:color="auto"/>
      </w:divBdr>
    </w:div>
    <w:div w:id="1106000778">
      <w:marLeft w:val="0"/>
      <w:marRight w:val="0"/>
      <w:marTop w:val="0"/>
      <w:marBottom w:val="0"/>
      <w:divBdr>
        <w:top w:val="none" w:sz="0" w:space="0" w:color="auto"/>
        <w:left w:val="none" w:sz="0" w:space="0" w:color="auto"/>
        <w:bottom w:val="none" w:sz="0" w:space="0" w:color="auto"/>
        <w:right w:val="none" w:sz="0" w:space="0" w:color="auto"/>
      </w:divBdr>
    </w:div>
    <w:div w:id="110600077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61DDA1-F767-45CC-95B9-F12A2460D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516A403</Template>
  <TotalTime>390</TotalTime>
  <Pages>6</Pages>
  <Words>1818</Words>
  <Characters>9410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Council Letter template</vt:lpstr>
    </vt:vector>
  </TitlesOfParts>
  <Company>Oxford City Council</Company>
  <LinksUpToDate>false</LinksUpToDate>
  <CharactersWithSpaces>11206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Letter template</dc:title>
  <dc:subject>External letters on headed paper</dc:subject>
  <dc:creator>jpaterson</dc:creator>
  <cp:lastModifiedBy>Robert.Fowler</cp:lastModifiedBy>
  <cp:revision>6</cp:revision>
  <cp:lastPrinted>2004-03-16T15:29:00Z</cp:lastPrinted>
  <dcterms:created xsi:type="dcterms:W3CDTF">2019-04-26T07:07:00Z</dcterms:created>
  <dcterms:modified xsi:type="dcterms:W3CDTF">2019-04-29T08:25:00Z</dcterms:modified>
</cp:coreProperties>
</file>